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C606" w14:textId="4CD9D313" w:rsidR="00713DE4" w:rsidRPr="000C16D3" w:rsidRDefault="00713DE4" w:rsidP="00713DE4">
      <w:pPr>
        <w:rPr>
          <w:rFonts w:cs="Arial"/>
          <w:b/>
        </w:rPr>
      </w:pPr>
      <w:r w:rsidRPr="000C16D3">
        <w:rPr>
          <w:rFonts w:cs="Arial"/>
          <w:b/>
        </w:rPr>
        <w:t>Pathways of Resiliency and Risk Among Youth Exposed to Chronic Community Violence</w:t>
      </w:r>
    </w:p>
    <w:p w14:paraId="5B83608F" w14:textId="4994EEC3" w:rsidR="000C16D3" w:rsidRDefault="000C16D3" w:rsidP="00713DE4">
      <w:pPr>
        <w:rPr>
          <w:rFonts w:cs="Arial"/>
        </w:rPr>
      </w:pPr>
    </w:p>
    <w:p w14:paraId="71989364" w14:textId="1453BCDD" w:rsidR="000C16D3" w:rsidRPr="00713DE4" w:rsidRDefault="000C16D3" w:rsidP="00713DE4">
      <w:pPr>
        <w:rPr>
          <w:rFonts w:cs="Arial"/>
        </w:rPr>
      </w:pPr>
      <w:bookmarkStart w:id="0" w:name="_GoBack"/>
      <w:bookmarkEnd w:id="0"/>
      <w:r>
        <w:rPr>
          <w:rFonts w:ascii="Arial Narrow" w:hAnsi="Arial Narrow"/>
          <w:sz w:val="22"/>
          <w:szCs w:val="22"/>
        </w:rPr>
        <w:t xml:space="preserve">Purcell, M (2015) </w:t>
      </w:r>
      <w:r>
        <w:rPr>
          <w:rFonts w:ascii="Arial Narrow" w:hAnsi="Arial Narrow"/>
          <w:i/>
          <w:sz w:val="22"/>
          <w:szCs w:val="22"/>
        </w:rPr>
        <w:t xml:space="preserve">Pathways of Resiliency and Risk Among Youth Exposed to Chronic Community Violence. </w:t>
      </w:r>
      <w:r>
        <w:rPr>
          <w:rFonts w:ascii="Arial Narrow" w:hAnsi="Arial Narrow"/>
          <w:sz w:val="22"/>
          <w:szCs w:val="22"/>
        </w:rPr>
        <w:t>Journal of Psychology and Social Studies.</w:t>
      </w:r>
    </w:p>
    <w:p w14:paraId="22B9D702" w14:textId="77777777" w:rsidR="00713DE4" w:rsidRPr="00713DE4" w:rsidRDefault="00713DE4" w:rsidP="00713DE4">
      <w:pPr>
        <w:rPr>
          <w:rFonts w:cs="Arial"/>
        </w:rPr>
      </w:pPr>
    </w:p>
    <w:p w14:paraId="267CBC65" w14:textId="3329A87A" w:rsidR="00713DE4" w:rsidRPr="00900C78" w:rsidRDefault="00713DE4" w:rsidP="00713DE4">
      <w:pPr>
        <w:rPr>
          <w:rFonts w:cs="Arial"/>
        </w:rPr>
      </w:pPr>
      <w:r w:rsidRPr="00713DE4">
        <w:rPr>
          <w:rFonts w:cs="Arial"/>
        </w:rPr>
        <w:t xml:space="preserve">Mark C. Purcell, John F. Kennedy University, San Jose, California, USA </w:t>
      </w:r>
    </w:p>
    <w:p w14:paraId="1A543307" w14:textId="77777777" w:rsidR="00713DE4" w:rsidRPr="00713DE4" w:rsidRDefault="00713DE4" w:rsidP="00713DE4">
      <w:pPr>
        <w:pStyle w:val="Heading1"/>
      </w:pPr>
      <w:r w:rsidRPr="00713DE4">
        <w:t xml:space="preserve">ABSTRACT </w:t>
      </w:r>
    </w:p>
    <w:p w14:paraId="2B366032" w14:textId="664021AD" w:rsidR="00713DE4" w:rsidRPr="00713DE4" w:rsidRDefault="00713DE4" w:rsidP="00713DE4">
      <w:pPr>
        <w:rPr>
          <w:rFonts w:cs="Arial"/>
          <w:szCs w:val="20"/>
        </w:rPr>
      </w:pPr>
      <w:r w:rsidRPr="00713DE4">
        <w:rPr>
          <w:rFonts w:cs="Arial"/>
          <w:szCs w:val="20"/>
        </w:rPr>
        <w:t xml:space="preserve">This study examines the effects of community violence exposure upon trauma and resiliency-related process among inner-city youth. A mixed-method design was applied with a sample of twelve </w:t>
      </w:r>
      <w:r w:rsidR="002D78C9">
        <w:rPr>
          <w:rFonts w:cs="Arial"/>
          <w:szCs w:val="20"/>
        </w:rPr>
        <w:t>adolescents</w:t>
      </w:r>
      <w:r w:rsidRPr="00713DE4">
        <w:rPr>
          <w:rFonts w:cs="Arial"/>
          <w:szCs w:val="20"/>
        </w:rPr>
        <w:t>. Standardized instruments were used to assess levels of community violence exposure, and posttraumatic symptoms and diagnoses. Semi-structured interviews were conducted to gather qualitative data pertaining to trauma and resiliency-related processes. Subjects reported high rates of chronic com</w:t>
      </w:r>
      <w:r w:rsidR="00900C78">
        <w:rPr>
          <w:rFonts w:cs="Arial"/>
          <w:szCs w:val="20"/>
        </w:rPr>
        <w:t xml:space="preserve">munity violence and most </w:t>
      </w:r>
      <w:r w:rsidRPr="00713DE4">
        <w:rPr>
          <w:rFonts w:cs="Arial"/>
          <w:szCs w:val="20"/>
        </w:rPr>
        <w:t xml:space="preserve">met diagnostic criteria for </w:t>
      </w:r>
      <w:r w:rsidR="00DC53F9">
        <w:rPr>
          <w:rFonts w:cs="Arial"/>
          <w:szCs w:val="20"/>
        </w:rPr>
        <w:t>posttraumatic stress disorder (</w:t>
      </w:r>
      <w:r w:rsidRPr="00713DE4">
        <w:rPr>
          <w:rFonts w:cs="Arial"/>
          <w:szCs w:val="20"/>
        </w:rPr>
        <w:t>PTSD</w:t>
      </w:r>
      <w:r w:rsidR="00DC53F9">
        <w:rPr>
          <w:rFonts w:cs="Arial"/>
          <w:szCs w:val="20"/>
        </w:rPr>
        <w:t>)</w:t>
      </w:r>
      <w:r w:rsidR="00900C78">
        <w:rPr>
          <w:rFonts w:cs="Arial"/>
          <w:szCs w:val="20"/>
        </w:rPr>
        <w:t xml:space="preserve"> and </w:t>
      </w:r>
      <w:r w:rsidRPr="00713DE4">
        <w:rPr>
          <w:rFonts w:cs="Arial"/>
          <w:szCs w:val="20"/>
        </w:rPr>
        <w:t>complex trauma. Integrated analysis of the data determined distinct processes related to community violence. The path of resiliency tended to lead youth towards trauma recovery; while the other risk-oriented path tended to lead towards complex trauma and increased violence involvement.</w:t>
      </w:r>
      <w:r w:rsidR="002D78C9">
        <w:rPr>
          <w:rFonts w:cs="Arial"/>
          <w:szCs w:val="20"/>
        </w:rPr>
        <w:t xml:space="preserve"> This study indicates the need to assess for violence exposure among urban youth and the importance of in-depth counseling to identify risk and resiliency factors.</w:t>
      </w:r>
    </w:p>
    <w:p w14:paraId="60153108" w14:textId="77777777" w:rsidR="00713DE4" w:rsidRPr="00713DE4" w:rsidRDefault="00713DE4" w:rsidP="00713DE4">
      <w:pPr>
        <w:rPr>
          <w:rFonts w:cs="Arial"/>
          <w:szCs w:val="20"/>
        </w:rPr>
      </w:pPr>
    </w:p>
    <w:p w14:paraId="2806FC10" w14:textId="77777777" w:rsidR="00713DE4" w:rsidRPr="00713DE4" w:rsidRDefault="00713DE4" w:rsidP="00713DE4">
      <w:pPr>
        <w:rPr>
          <w:rFonts w:cs="Arial"/>
          <w:szCs w:val="20"/>
        </w:rPr>
      </w:pPr>
      <w:r w:rsidRPr="00713DE4">
        <w:rPr>
          <w:rFonts w:cs="Arial"/>
          <w:szCs w:val="20"/>
        </w:rPr>
        <w:t xml:space="preserve">Keywords — Community violence, youth, trauma, risk, resiliency </w:t>
      </w:r>
    </w:p>
    <w:p w14:paraId="2F00CAD4" w14:textId="77777777" w:rsidR="00713DE4" w:rsidRDefault="00713DE4" w:rsidP="00784D55">
      <w:pPr>
        <w:pStyle w:val="Heading2"/>
      </w:pPr>
      <w:r w:rsidRPr="00713DE4">
        <w:t>INTRODUCTION</w:t>
      </w:r>
    </w:p>
    <w:p w14:paraId="41F013ED" w14:textId="209E0699" w:rsidR="00EE63F0" w:rsidRPr="004C2802" w:rsidRDefault="00EE63F0" w:rsidP="004C2802">
      <w:bookmarkStart w:id="1" w:name="Community_Violence_Exposure"/>
      <w:bookmarkStart w:id="2" w:name="Methods"/>
      <w:bookmarkStart w:id="3" w:name="Measurements"/>
      <w:bookmarkEnd w:id="1"/>
      <w:bookmarkEnd w:id="2"/>
      <w:bookmarkEnd w:id="3"/>
      <w:r w:rsidRPr="00EE63F0">
        <w:rPr>
          <w:rFonts w:cs="Arial"/>
          <w:szCs w:val="20"/>
        </w:rPr>
        <w:t xml:space="preserve">Community violence is one of the greatest threats to youth safety and well-being worldwide. </w:t>
      </w:r>
      <w:r w:rsidRPr="00FC5822">
        <w:rPr>
          <w:rFonts w:cs="Arial"/>
          <w:szCs w:val="20"/>
        </w:rPr>
        <w:t xml:space="preserve">Homicide and non-fatal assaults involving young people contribute greatly to the global burden of premature death, injury and disability </w:t>
      </w:r>
      <w:r w:rsidRPr="00EE63F0">
        <w:rPr>
          <w:rFonts w:cs="Arial"/>
          <w:szCs w:val="20"/>
        </w:rPr>
        <w:t>(Reza &amp; Krug, 2001)</w:t>
      </w:r>
      <w:r w:rsidRPr="00FC5822">
        <w:rPr>
          <w:rFonts w:cs="Arial"/>
          <w:szCs w:val="20"/>
        </w:rPr>
        <w:t>.</w:t>
      </w:r>
      <w:r w:rsidRPr="00EE63F0">
        <w:rPr>
          <w:rFonts w:cs="Arial"/>
          <w:szCs w:val="20"/>
        </w:rPr>
        <w:t xml:space="preserve"> In 2</w:t>
      </w:r>
      <w:r w:rsidR="002D78C9">
        <w:rPr>
          <w:rFonts w:cs="Arial"/>
          <w:szCs w:val="20"/>
        </w:rPr>
        <w:t>000, an average of 565 youth</w:t>
      </w:r>
      <w:r w:rsidRPr="00EE63F0">
        <w:rPr>
          <w:rFonts w:cs="Arial"/>
          <w:szCs w:val="20"/>
        </w:rPr>
        <w:t xml:space="preserve"> between the ages of 10 and 29 years die</w:t>
      </w:r>
      <w:r w:rsidR="009D048F">
        <w:rPr>
          <w:rFonts w:cs="Arial"/>
          <w:szCs w:val="20"/>
        </w:rPr>
        <w:t>d</w:t>
      </w:r>
      <w:r w:rsidRPr="00EE63F0">
        <w:rPr>
          <w:rFonts w:cs="Arial"/>
          <w:szCs w:val="20"/>
        </w:rPr>
        <w:t xml:space="preserve"> each day as a result of interpersonal violence (Krug, 2002).</w:t>
      </w:r>
      <w:r>
        <w:rPr>
          <w:rFonts w:cs="Arial"/>
          <w:szCs w:val="20"/>
        </w:rPr>
        <w:t xml:space="preserve"> </w:t>
      </w:r>
      <w:r w:rsidR="007F0F4C" w:rsidRPr="00EE63F0">
        <w:rPr>
          <w:rFonts w:cs="Arial"/>
          <w:szCs w:val="20"/>
        </w:rPr>
        <w:t>Over 85% of urban youth report witnessing some form of community violence in their lifetime and almost</w:t>
      </w:r>
      <w:r w:rsidR="009122BC" w:rsidRPr="00EE63F0">
        <w:rPr>
          <w:rFonts w:cs="Arial"/>
          <w:szCs w:val="20"/>
        </w:rPr>
        <w:t xml:space="preserve"> </w:t>
      </w:r>
      <w:r w:rsidR="007F0F4C" w:rsidRPr="00EE63F0">
        <w:rPr>
          <w:rFonts w:cs="Arial"/>
          <w:szCs w:val="20"/>
        </w:rPr>
        <w:t>70% report direct victimization</w:t>
      </w:r>
      <w:r>
        <w:rPr>
          <w:rFonts w:cs="Arial"/>
          <w:szCs w:val="20"/>
        </w:rPr>
        <w:t xml:space="preserve"> (Farrell &amp; Bruce, 1997; Overstreet &amp; Braun, 2000; Mazza &amp; Reynolds, 1999). </w:t>
      </w:r>
      <w:r w:rsidR="002D78C9" w:rsidRPr="00EE63F0">
        <w:rPr>
          <w:rFonts w:cs="Arial"/>
          <w:szCs w:val="20"/>
        </w:rPr>
        <w:t>Community violence exposure (CVE) includes direct victimization, witnessing, and hearing about violen</w:t>
      </w:r>
      <w:r w:rsidR="002D78C9">
        <w:rPr>
          <w:rFonts w:cs="Arial"/>
          <w:szCs w:val="20"/>
        </w:rPr>
        <w:t>ce</w:t>
      </w:r>
      <w:r w:rsidR="002D78C9" w:rsidRPr="00EE63F0">
        <w:rPr>
          <w:rFonts w:cs="Arial"/>
          <w:szCs w:val="20"/>
        </w:rPr>
        <w:t xml:space="preserve"> in the community, </w:t>
      </w:r>
      <w:r w:rsidR="002D78C9">
        <w:rPr>
          <w:rFonts w:cs="Arial"/>
          <w:szCs w:val="20"/>
        </w:rPr>
        <w:t>which</w:t>
      </w:r>
      <w:r w:rsidR="002D78C9" w:rsidRPr="00EE63F0">
        <w:rPr>
          <w:rFonts w:cs="Arial"/>
          <w:szCs w:val="20"/>
        </w:rPr>
        <w:t xml:space="preserve"> can be a</w:t>
      </w:r>
      <w:r w:rsidR="002D78C9">
        <w:rPr>
          <w:rFonts w:cs="Arial"/>
          <w:szCs w:val="20"/>
        </w:rPr>
        <w:t xml:space="preserve">n extreme stressor affecting </w:t>
      </w:r>
      <w:r w:rsidR="002D78C9" w:rsidRPr="00EE63F0">
        <w:rPr>
          <w:rFonts w:cs="Arial"/>
          <w:szCs w:val="20"/>
        </w:rPr>
        <w:t xml:space="preserve">the physical and mental health of youth </w:t>
      </w:r>
      <w:r w:rsidR="002D78C9">
        <w:rPr>
          <w:rFonts w:cs="Arial"/>
          <w:szCs w:val="20"/>
        </w:rPr>
        <w:t>(Cooley, et al.</w:t>
      </w:r>
      <w:r w:rsidR="002D78C9" w:rsidRPr="00EE63F0">
        <w:rPr>
          <w:rFonts w:cs="Arial"/>
          <w:szCs w:val="20"/>
        </w:rPr>
        <w:t xml:space="preserve">, 1995). </w:t>
      </w:r>
      <w:r w:rsidR="007F0F4C" w:rsidRPr="00EE63F0">
        <w:rPr>
          <w:rFonts w:cs="Arial"/>
          <w:szCs w:val="20"/>
        </w:rPr>
        <w:t xml:space="preserve">Although there are consistent empirical findings for the relationship between CVE and mental health symptoms, not all youth in urban settings who are exposed to community </w:t>
      </w:r>
      <w:bookmarkStart w:id="4" w:name="Demographic_Data"/>
      <w:bookmarkEnd w:id="4"/>
      <w:r w:rsidR="007F0F4C" w:rsidRPr="00EE63F0">
        <w:rPr>
          <w:rFonts w:cs="Arial"/>
          <w:szCs w:val="20"/>
        </w:rPr>
        <w:t>violence develop negative sequelae</w:t>
      </w:r>
      <w:r w:rsidR="00031665">
        <w:rPr>
          <w:rFonts w:cs="Arial"/>
          <w:szCs w:val="20"/>
        </w:rPr>
        <w:t xml:space="preserve"> (</w:t>
      </w:r>
      <w:r w:rsidR="00031665" w:rsidRPr="00031665">
        <w:rPr>
          <w:rFonts w:cs="Arial"/>
          <w:szCs w:val="20"/>
        </w:rPr>
        <w:t>Wilson &amp; Rosenthal, 2003).</w:t>
      </w:r>
      <w:r w:rsidR="00031665" w:rsidRPr="009122BC">
        <w:rPr>
          <w:rFonts w:cs="Arial"/>
          <w:color w:val="000000"/>
          <w:sz w:val="24"/>
        </w:rPr>
        <w:t xml:space="preserve"> </w:t>
      </w:r>
      <w:r w:rsidR="007F0F4C" w:rsidRPr="00EE63F0">
        <w:rPr>
          <w:rFonts w:cs="Arial"/>
          <w:szCs w:val="20"/>
        </w:rPr>
        <w:t xml:space="preserve">Some display signs of positive youth development, </w:t>
      </w:r>
      <w:r w:rsidR="002D78C9">
        <w:rPr>
          <w:rFonts w:cs="Arial"/>
          <w:szCs w:val="20"/>
        </w:rPr>
        <w:t xml:space="preserve">despite </w:t>
      </w:r>
      <w:r w:rsidR="007F0F4C" w:rsidRPr="00EE63F0">
        <w:rPr>
          <w:rFonts w:cs="Arial"/>
          <w:szCs w:val="20"/>
        </w:rPr>
        <w:t>t</w:t>
      </w:r>
      <w:r w:rsidR="002D78C9">
        <w:rPr>
          <w:rFonts w:cs="Arial"/>
          <w:szCs w:val="20"/>
        </w:rPr>
        <w:t>hese experiences</w:t>
      </w:r>
      <w:r w:rsidR="007F0F4C" w:rsidRPr="00EE63F0">
        <w:rPr>
          <w:rFonts w:cs="Arial"/>
          <w:szCs w:val="20"/>
        </w:rPr>
        <w:t xml:space="preserve">. </w:t>
      </w:r>
      <w:r w:rsidR="00F93667" w:rsidRPr="00111734">
        <w:t>Adversity and trauma do not always produce deleterious outcomes, and can conversely, be catalysts for positive growth and</w:t>
      </w:r>
      <w:r w:rsidR="004C2802">
        <w:t xml:space="preserve"> change in certain individuals</w:t>
      </w:r>
      <w:r w:rsidR="002D78C9">
        <w:t xml:space="preserve"> (Lerner et al., 2005)</w:t>
      </w:r>
      <w:r w:rsidR="004C2802">
        <w:t>.</w:t>
      </w:r>
      <w:r w:rsidR="00627440" w:rsidRPr="00627440">
        <w:t xml:space="preserve"> </w:t>
      </w:r>
      <w:r w:rsidR="004C2802">
        <w:t>T</w:t>
      </w:r>
      <w:r w:rsidR="00627440" w:rsidRPr="00111734">
        <w:t xml:space="preserve">he potential for growth is </w:t>
      </w:r>
      <w:r w:rsidR="004C2802">
        <w:t xml:space="preserve">often </w:t>
      </w:r>
      <w:r w:rsidR="00627440" w:rsidRPr="00111734">
        <w:t>greatest following exposure to extraordinary traumatic life experiences (</w:t>
      </w:r>
      <w:r w:rsidR="004C2802">
        <w:t xml:space="preserve">Linley &amp; Joseph, 2004; </w:t>
      </w:r>
      <w:proofErr w:type="spellStart"/>
      <w:r w:rsidR="00627440" w:rsidRPr="00111734">
        <w:t>Tedischi</w:t>
      </w:r>
      <w:proofErr w:type="spellEnd"/>
      <w:r w:rsidR="00627440" w:rsidRPr="00111734">
        <w:t xml:space="preserve"> &amp; Calhoun, 1995).</w:t>
      </w:r>
      <w:r w:rsidR="004C2802">
        <w:t xml:space="preserve"> </w:t>
      </w:r>
      <w:r w:rsidR="005D11E7">
        <w:t>C</w:t>
      </w:r>
      <w:r w:rsidR="004C2802">
        <w:t>ommunity violence</w:t>
      </w:r>
      <w:r w:rsidR="005D11E7">
        <w:t xml:space="preserve"> is a prevalent and potentially life changing social issue for youth. It is imperative to</w:t>
      </w:r>
      <w:r w:rsidR="004C2802">
        <w:t xml:space="preserve"> examine factors </w:t>
      </w:r>
      <w:r w:rsidR="005D11E7">
        <w:t>contributing</w:t>
      </w:r>
      <w:r w:rsidR="004C2802">
        <w:t xml:space="preserve"> to increased risk an</w:t>
      </w:r>
      <w:r w:rsidR="005D11E7">
        <w:t>d those that lead to resiliency</w:t>
      </w:r>
      <w:r w:rsidR="004C2802">
        <w:t xml:space="preserve"> and positive traumatic growth.</w:t>
      </w:r>
    </w:p>
    <w:p w14:paraId="7F5D455D" w14:textId="4EA027DF" w:rsidR="00C44071" w:rsidRDefault="00784D55" w:rsidP="00C44071">
      <w:pPr>
        <w:pStyle w:val="Heading1"/>
      </w:pPr>
      <w:r>
        <w:t>RESEARCH METHOD</w:t>
      </w:r>
    </w:p>
    <w:p w14:paraId="6957407F" w14:textId="01FD77DC" w:rsidR="008555F2" w:rsidRDefault="008555F2" w:rsidP="008555F2">
      <w:r>
        <w:t xml:space="preserve">This mixed-methods study examined the relationship between community violence exposure, trauma, risk and resiliency among urban youth. </w:t>
      </w:r>
      <w:r w:rsidRPr="00111734">
        <w:t xml:space="preserve">The sample for this study consisted of twelve youth </w:t>
      </w:r>
      <w:r>
        <w:t xml:space="preserve">(ages 12-17) </w:t>
      </w:r>
      <w:r w:rsidRPr="00111734">
        <w:t xml:space="preserve">who </w:t>
      </w:r>
      <w:r>
        <w:t>were</w:t>
      </w:r>
      <w:r w:rsidRPr="00111734">
        <w:t xml:space="preserve"> exposed to chronic community violence</w:t>
      </w:r>
      <w:r>
        <w:t xml:space="preserve"> in San Francisco, CA, USA</w:t>
      </w:r>
      <w:r w:rsidRPr="00111734">
        <w:t xml:space="preserve">. The sample </w:t>
      </w:r>
      <w:r w:rsidR="00900C78">
        <w:t xml:space="preserve">included </w:t>
      </w:r>
      <w:r w:rsidR="009D048F">
        <w:t xml:space="preserve">boys and girls from </w:t>
      </w:r>
      <w:r w:rsidRPr="00111734">
        <w:t xml:space="preserve">heterogynous </w:t>
      </w:r>
      <w:r w:rsidR="00F93667">
        <w:t>racial and</w:t>
      </w:r>
      <w:r>
        <w:t xml:space="preserve"> ethnic group</w:t>
      </w:r>
      <w:r w:rsidR="00F93667">
        <w:t>s</w:t>
      </w:r>
      <w:r w:rsidR="00900C78">
        <w:t xml:space="preserve">. </w:t>
      </w:r>
      <w:r w:rsidRPr="00111734">
        <w:t>Each individual participated in a</w:t>
      </w:r>
      <w:r>
        <w:t xml:space="preserve"> </w:t>
      </w:r>
      <w:r w:rsidR="00900C78">
        <w:t xml:space="preserve">two-hour </w:t>
      </w:r>
      <w:r>
        <w:t>semi-structured interview</w:t>
      </w:r>
      <w:r w:rsidRPr="00111734">
        <w:t xml:space="preserve">. The first phase of the interview involved completion of two structured assessment instruments: </w:t>
      </w:r>
      <w:r w:rsidRPr="00A1472A">
        <w:rPr>
          <w:i/>
        </w:rPr>
        <w:t>The Survey of Children’s Exposure to Community Violence</w:t>
      </w:r>
      <w:r w:rsidRPr="00111734">
        <w:t xml:space="preserve"> (</w:t>
      </w:r>
      <w:proofErr w:type="spellStart"/>
      <w:r w:rsidRPr="00111734">
        <w:t>Richters</w:t>
      </w:r>
      <w:proofErr w:type="spellEnd"/>
      <w:r w:rsidRPr="00111734">
        <w:t xml:space="preserve"> &amp; Martinez, 1998)</w:t>
      </w:r>
      <w:r>
        <w:t xml:space="preserve"> and </w:t>
      </w:r>
      <w:r w:rsidRPr="00111734">
        <w:rPr>
          <w:i/>
        </w:rPr>
        <w:t xml:space="preserve">The Children’s PTSD </w:t>
      </w:r>
      <w:r w:rsidRPr="00111734">
        <w:rPr>
          <w:i/>
        </w:rPr>
        <w:lastRenderedPageBreak/>
        <w:t>Inventory</w:t>
      </w:r>
      <w:r>
        <w:rPr>
          <w:i/>
        </w:rPr>
        <w:t xml:space="preserve"> </w:t>
      </w:r>
      <w:r>
        <w:t>(</w:t>
      </w:r>
      <w:proofErr w:type="spellStart"/>
      <w:r>
        <w:t>Saigh</w:t>
      </w:r>
      <w:proofErr w:type="spellEnd"/>
      <w:r>
        <w:t>, 2004)</w:t>
      </w:r>
      <w:r w:rsidRPr="00111734">
        <w:t xml:space="preserve">. The second phase of the interview was a semi-structured interview with the opportunity for open-ended questions and statements from participants. </w:t>
      </w:r>
    </w:p>
    <w:p w14:paraId="535234B5" w14:textId="77777777" w:rsidR="008555F2" w:rsidRDefault="008555F2" w:rsidP="008555F2"/>
    <w:p w14:paraId="25E8574C" w14:textId="5D69D274" w:rsidR="008555F2" w:rsidRPr="0070088C" w:rsidRDefault="008555F2" w:rsidP="008555F2">
      <w:pPr>
        <w:rPr>
          <w:b/>
        </w:rPr>
      </w:pPr>
      <w:r w:rsidRPr="0070088C">
        <w:rPr>
          <w:b/>
        </w:rPr>
        <w:t>2.1 Qualitative Data Analysis of Youth Experiences with Violence &amp; Trauma</w:t>
      </w:r>
    </w:p>
    <w:p w14:paraId="0DF25D0C" w14:textId="696FD606" w:rsidR="008555F2" w:rsidRPr="00CA53AE" w:rsidRDefault="008555F2" w:rsidP="008555F2">
      <w:r w:rsidRPr="00111734">
        <w:t xml:space="preserve">The semi-structured interviews were taped, transcribed, and analyzed to allow dominant themes to emerge from the data. </w:t>
      </w:r>
      <w:r w:rsidR="004C2802">
        <w:t>A</w:t>
      </w:r>
      <w:r w:rsidRPr="00111734">
        <w:t xml:space="preserve">ssessment and survey instruments were scored according to the procedures identified </w:t>
      </w:r>
      <w:r>
        <w:t xml:space="preserve">for each instrument. The </w:t>
      </w:r>
      <w:r w:rsidRPr="00111734">
        <w:t>data obtained from the assessments and surveys w</w:t>
      </w:r>
      <w:r>
        <w:t>as</w:t>
      </w:r>
      <w:r w:rsidRPr="00111734">
        <w:t xml:space="preserve"> compiled to analyze similarities and differences across cases. </w:t>
      </w:r>
      <w:r w:rsidR="0070088C" w:rsidRPr="00111734">
        <w:t>Qualitative data reduction and analyses were conducted according to the constant c</w:t>
      </w:r>
      <w:r w:rsidR="0070088C">
        <w:t xml:space="preserve">omparative </w:t>
      </w:r>
      <w:r w:rsidR="00F83DC9">
        <w:t xml:space="preserve">analysis </w:t>
      </w:r>
      <w:r w:rsidR="0070088C">
        <w:t>approach</w:t>
      </w:r>
      <w:r w:rsidR="0070088C" w:rsidRPr="00111734">
        <w:t xml:space="preserve"> </w:t>
      </w:r>
      <w:r w:rsidR="00900C78">
        <w:t>(</w:t>
      </w:r>
      <w:r w:rsidR="0070088C" w:rsidRPr="00111734">
        <w:t>Corbin</w:t>
      </w:r>
      <w:r w:rsidR="0070088C">
        <w:t xml:space="preserve"> and </w:t>
      </w:r>
      <w:r w:rsidR="00900C78">
        <w:t xml:space="preserve">Strauss, 1990). </w:t>
      </w:r>
      <w:r w:rsidRPr="00111734">
        <w:t>The final stage of data analysis was conducted to discern overall patterns and emergent theories. One of the advantages of qualitative studies is that they can potentially yield new theories during the process of data analysis and refinement. In the current study</w:t>
      </w:r>
      <w:r w:rsidR="00F93667">
        <w:t>, t</w:t>
      </w:r>
      <w:r w:rsidRPr="00111734">
        <w:t>he result was a theoretical model for the developmental process of risk and resiliency as it pertains to chronic community violence.</w:t>
      </w:r>
    </w:p>
    <w:p w14:paraId="4B613132" w14:textId="713C17BD" w:rsidR="00713DE4" w:rsidRPr="00713DE4" w:rsidRDefault="00713DE4" w:rsidP="0070088C">
      <w:pPr>
        <w:pStyle w:val="Heading1"/>
      </w:pPr>
      <w:r w:rsidRPr="00713DE4">
        <w:t>Emergent Theory: Pathways of Resiliency &amp; Risk in Response to Community Violence</w:t>
      </w:r>
    </w:p>
    <w:p w14:paraId="6AA93BA1" w14:textId="77777777" w:rsidR="00713DE4" w:rsidRPr="00713DE4" w:rsidRDefault="00713DE4" w:rsidP="00713DE4">
      <w:pPr>
        <w:rPr>
          <w:rFonts w:cs="Arial"/>
          <w:szCs w:val="20"/>
        </w:rPr>
      </w:pPr>
      <w:r w:rsidRPr="00713DE4">
        <w:rPr>
          <w:rFonts w:cs="Arial"/>
          <w:szCs w:val="20"/>
        </w:rPr>
        <w:t>A comprehensive analysis of the cross-case themes revealed potential patterns of youth development in response to community violence. The youth who appeared to adjust and recover from their violence-related traumas described common themes. Similarly, there were common themes among those youth who had an overall worse prognosis for a myriad of risk factors including: violence-related trauma, personal involvement in violence, and criminal activities. A comprehensive examination of the data derived from the interviews suggested two trajectories of personal and social development in response to community violence. One trajectory was in the direction of resilience and recovery from trauma. The other trajectory led towards a cycle of complex trauma and increased involvement in violence and other detrimental risks. Based upon the qualitative data, there were pivotal experiences that influenced the direction of either trajectory for each youth. These pivotal experiences were influenced by several factors, including: pre-trauma environmental factors; trauma-related specifics; internal response of the individual; and the interaction with the broader social community.</w:t>
      </w:r>
    </w:p>
    <w:p w14:paraId="796181FA" w14:textId="77777777" w:rsidR="0003108D" w:rsidRDefault="0003108D" w:rsidP="00713DE4">
      <w:pPr>
        <w:rPr>
          <w:rFonts w:cs="Arial"/>
          <w:szCs w:val="20"/>
        </w:rPr>
      </w:pPr>
    </w:p>
    <w:p w14:paraId="2CC442A4" w14:textId="34BAE41D" w:rsidR="00713DE4" w:rsidRPr="00713DE4" w:rsidRDefault="00713DE4" w:rsidP="00713DE4">
      <w:pPr>
        <w:rPr>
          <w:rFonts w:cs="Arial"/>
          <w:szCs w:val="20"/>
        </w:rPr>
      </w:pPr>
      <w:r w:rsidRPr="00713DE4">
        <w:rPr>
          <w:rFonts w:cs="Arial"/>
          <w:szCs w:val="20"/>
        </w:rPr>
        <w:t xml:space="preserve">A theory of youth development in the context of community violence is presented </w:t>
      </w:r>
      <w:r w:rsidR="00F83DC9">
        <w:rPr>
          <w:rFonts w:cs="Arial"/>
          <w:szCs w:val="20"/>
        </w:rPr>
        <w:t xml:space="preserve">in </w:t>
      </w:r>
      <w:r w:rsidRPr="00713DE4">
        <w:rPr>
          <w:rFonts w:cs="Arial"/>
          <w:szCs w:val="20"/>
        </w:rPr>
        <w:t xml:space="preserve">Table I: Pathways of Resilience &amp; Risk in Response to Community Violence. Stages are presented which relate to the interaction between community violence and the personal development of the youth. At each stage, tasks have been identified corresponding to the two trajectories of development in response to community violence. </w:t>
      </w:r>
    </w:p>
    <w:p w14:paraId="3FB48294" w14:textId="77777777" w:rsidR="0003108D" w:rsidRDefault="0003108D" w:rsidP="00713DE4">
      <w:pPr>
        <w:rPr>
          <w:rFonts w:cs="Arial"/>
          <w:b/>
          <w:szCs w:val="20"/>
        </w:rPr>
      </w:pPr>
    </w:p>
    <w:p w14:paraId="0B0242CF" w14:textId="77777777" w:rsidR="00713DE4" w:rsidRPr="0003108D" w:rsidRDefault="00713DE4" w:rsidP="00713DE4">
      <w:pPr>
        <w:rPr>
          <w:rFonts w:cs="Arial"/>
          <w:b/>
          <w:szCs w:val="20"/>
        </w:rPr>
      </w:pPr>
      <w:r w:rsidRPr="0003108D">
        <w:rPr>
          <w:rFonts w:cs="Arial"/>
          <w:b/>
          <w:szCs w:val="20"/>
        </w:rPr>
        <w:t>3.1</w:t>
      </w:r>
      <w:r w:rsidRPr="0003108D">
        <w:rPr>
          <w:rFonts w:cs="Arial"/>
          <w:b/>
          <w:szCs w:val="20"/>
        </w:rPr>
        <w:tab/>
        <w:t>Stage I: Violence Exposure</w:t>
      </w:r>
    </w:p>
    <w:p w14:paraId="70C9A6E9" w14:textId="4C4ADA8F" w:rsidR="00713DE4" w:rsidRPr="00713DE4" w:rsidRDefault="00713DE4" w:rsidP="00713DE4">
      <w:pPr>
        <w:rPr>
          <w:rFonts w:cs="Arial"/>
          <w:szCs w:val="20"/>
        </w:rPr>
      </w:pPr>
      <w:r w:rsidRPr="00713DE4">
        <w:rPr>
          <w:rFonts w:cs="Arial"/>
          <w:szCs w:val="20"/>
        </w:rPr>
        <w:t>There is a broad range of the type, frequency, and severity of community violence which inner-city youth are exposed to. However, the results of this study strongly suggest that community violence is a chronic threat rather than an a few isolated incidents. This chronic exposure to community violence appears to affect individuals in different ways depending upon sev</w:t>
      </w:r>
      <w:r w:rsidR="005D11E7">
        <w:rPr>
          <w:rFonts w:cs="Arial"/>
          <w:szCs w:val="20"/>
        </w:rPr>
        <w:t>eral variables. Results suggest</w:t>
      </w:r>
      <w:r w:rsidRPr="00713DE4">
        <w:rPr>
          <w:rFonts w:cs="Arial"/>
          <w:szCs w:val="20"/>
        </w:rPr>
        <w:t xml:space="preserve"> there are both protective and risk factors </w:t>
      </w:r>
      <w:r w:rsidR="005D11E7">
        <w:rPr>
          <w:rFonts w:cs="Arial"/>
          <w:szCs w:val="20"/>
        </w:rPr>
        <w:t xml:space="preserve">that </w:t>
      </w:r>
      <w:r w:rsidRPr="00713DE4">
        <w:rPr>
          <w:rFonts w:cs="Arial"/>
          <w:szCs w:val="20"/>
        </w:rPr>
        <w:t xml:space="preserve">may determine the impact of community violence exposure.  </w:t>
      </w:r>
    </w:p>
    <w:p w14:paraId="03151CD4" w14:textId="77777777" w:rsidR="0003108D" w:rsidRDefault="0003108D" w:rsidP="00713DE4">
      <w:pPr>
        <w:rPr>
          <w:rFonts w:cs="Arial"/>
          <w:szCs w:val="20"/>
        </w:rPr>
      </w:pPr>
    </w:p>
    <w:p w14:paraId="5BFF9EF2" w14:textId="77777777" w:rsidR="00713DE4" w:rsidRPr="0003108D" w:rsidRDefault="00713DE4" w:rsidP="00713DE4">
      <w:pPr>
        <w:rPr>
          <w:rFonts w:cs="Arial"/>
          <w:b/>
          <w:szCs w:val="20"/>
        </w:rPr>
      </w:pPr>
      <w:r w:rsidRPr="0003108D">
        <w:rPr>
          <w:rFonts w:cs="Arial"/>
          <w:b/>
          <w:szCs w:val="20"/>
        </w:rPr>
        <w:t>3.1.1</w:t>
      </w:r>
      <w:r w:rsidRPr="0003108D">
        <w:rPr>
          <w:rFonts w:cs="Arial"/>
          <w:b/>
          <w:szCs w:val="20"/>
        </w:rPr>
        <w:tab/>
        <w:t>Protective Factors</w:t>
      </w:r>
    </w:p>
    <w:p w14:paraId="78819104" w14:textId="0D7767BF" w:rsidR="00713DE4" w:rsidRPr="00713DE4" w:rsidRDefault="005D11E7" w:rsidP="00713DE4">
      <w:pPr>
        <w:rPr>
          <w:rFonts w:cs="Arial"/>
          <w:szCs w:val="20"/>
        </w:rPr>
      </w:pPr>
      <w:r>
        <w:rPr>
          <w:rFonts w:cs="Arial"/>
          <w:szCs w:val="20"/>
        </w:rPr>
        <w:t>S</w:t>
      </w:r>
      <w:r w:rsidR="00713DE4" w:rsidRPr="00713DE4">
        <w:rPr>
          <w:rFonts w:cs="Arial"/>
          <w:szCs w:val="20"/>
        </w:rPr>
        <w:t xml:space="preserve">everal protective factors </w:t>
      </w:r>
      <w:r>
        <w:rPr>
          <w:rFonts w:cs="Arial"/>
          <w:szCs w:val="20"/>
        </w:rPr>
        <w:t xml:space="preserve">were </w:t>
      </w:r>
      <w:r w:rsidR="00713DE4" w:rsidRPr="00713DE4">
        <w:rPr>
          <w:rFonts w:cs="Arial"/>
          <w:szCs w:val="20"/>
        </w:rPr>
        <w:t xml:space="preserve">identified by the youth </w:t>
      </w:r>
      <w:r>
        <w:rPr>
          <w:rFonts w:cs="Arial"/>
          <w:szCs w:val="20"/>
        </w:rPr>
        <w:t>that</w:t>
      </w:r>
      <w:r w:rsidR="00713DE4" w:rsidRPr="00713DE4">
        <w:rPr>
          <w:rFonts w:cs="Arial"/>
          <w:szCs w:val="20"/>
        </w:rPr>
        <w:t xml:space="preserve"> may have minimized the effects of community violence. These included family support in the form of safety, protection, and the capacity to share feelings and c</w:t>
      </w:r>
      <w:r>
        <w:rPr>
          <w:rFonts w:cs="Arial"/>
          <w:szCs w:val="20"/>
        </w:rPr>
        <w:t xml:space="preserve">oncerns. Adult supervision </w:t>
      </w:r>
      <w:r w:rsidR="00713DE4" w:rsidRPr="00713DE4">
        <w:rPr>
          <w:rFonts w:cs="Arial"/>
          <w:szCs w:val="20"/>
        </w:rPr>
        <w:t xml:space="preserve">appeared to be a protective factor </w:t>
      </w:r>
      <w:r>
        <w:rPr>
          <w:rFonts w:cs="Arial"/>
          <w:szCs w:val="20"/>
        </w:rPr>
        <w:t>that</w:t>
      </w:r>
      <w:r w:rsidR="00713DE4" w:rsidRPr="00713DE4">
        <w:rPr>
          <w:rFonts w:cs="Arial"/>
          <w:szCs w:val="20"/>
        </w:rPr>
        <w:t xml:space="preserve"> reduced the risk of violence exposure. Youth who were involved in positive activities such as sc</w:t>
      </w:r>
      <w:r>
        <w:rPr>
          <w:rFonts w:cs="Arial"/>
          <w:szCs w:val="20"/>
        </w:rPr>
        <w:t>hool or youth programs were</w:t>
      </w:r>
      <w:r w:rsidR="00713DE4" w:rsidRPr="00713DE4">
        <w:rPr>
          <w:rFonts w:cs="Arial"/>
          <w:szCs w:val="20"/>
        </w:rPr>
        <w:t xml:space="preserve"> better equipped to deal with the violence they were exposed to. </w:t>
      </w:r>
      <w:r>
        <w:rPr>
          <w:rFonts w:cs="Arial"/>
          <w:szCs w:val="20"/>
        </w:rPr>
        <w:t>Y</w:t>
      </w:r>
      <w:r w:rsidR="00713DE4" w:rsidRPr="00713DE4">
        <w:rPr>
          <w:rFonts w:cs="Arial"/>
          <w:szCs w:val="20"/>
        </w:rPr>
        <w:t xml:space="preserve">outh programs </w:t>
      </w:r>
      <w:r>
        <w:rPr>
          <w:rFonts w:cs="Arial"/>
          <w:szCs w:val="20"/>
        </w:rPr>
        <w:t xml:space="preserve">were identified </w:t>
      </w:r>
      <w:r w:rsidR="00713DE4" w:rsidRPr="00713DE4">
        <w:rPr>
          <w:rFonts w:cs="Arial"/>
          <w:szCs w:val="20"/>
        </w:rPr>
        <w:t>as places where they could talk about their experiences with violence and find mutual support from peers and staff.</w:t>
      </w:r>
    </w:p>
    <w:p w14:paraId="1DA534E6" w14:textId="77777777" w:rsidR="0003108D" w:rsidRDefault="0003108D" w:rsidP="00713DE4">
      <w:pPr>
        <w:rPr>
          <w:rFonts w:cs="Arial"/>
          <w:szCs w:val="20"/>
        </w:rPr>
      </w:pPr>
    </w:p>
    <w:p w14:paraId="65EB2B80" w14:textId="77777777" w:rsidR="00713DE4" w:rsidRPr="0003108D" w:rsidRDefault="00713DE4" w:rsidP="00713DE4">
      <w:pPr>
        <w:rPr>
          <w:rFonts w:cs="Arial"/>
          <w:b/>
          <w:szCs w:val="20"/>
        </w:rPr>
      </w:pPr>
      <w:r w:rsidRPr="0003108D">
        <w:rPr>
          <w:rFonts w:cs="Arial"/>
          <w:b/>
          <w:szCs w:val="20"/>
        </w:rPr>
        <w:t>3.1.2</w:t>
      </w:r>
      <w:r w:rsidRPr="0003108D">
        <w:rPr>
          <w:rFonts w:cs="Arial"/>
          <w:b/>
          <w:szCs w:val="20"/>
        </w:rPr>
        <w:tab/>
        <w:t>Risk Factors</w:t>
      </w:r>
    </w:p>
    <w:p w14:paraId="09F0C670" w14:textId="50FB6740" w:rsidR="00713DE4" w:rsidRPr="00713DE4" w:rsidRDefault="00713DE4" w:rsidP="00713DE4">
      <w:pPr>
        <w:rPr>
          <w:rFonts w:cs="Arial"/>
          <w:szCs w:val="20"/>
        </w:rPr>
      </w:pPr>
      <w:r w:rsidRPr="00713DE4">
        <w:rPr>
          <w:rFonts w:cs="Arial"/>
          <w:szCs w:val="20"/>
        </w:rPr>
        <w:lastRenderedPageBreak/>
        <w:t>Th</w:t>
      </w:r>
      <w:r w:rsidR="005D11E7">
        <w:rPr>
          <w:rFonts w:cs="Arial"/>
          <w:szCs w:val="20"/>
        </w:rPr>
        <w:t>ere were several risk factors that</w:t>
      </w:r>
      <w:r w:rsidRPr="00713DE4">
        <w:rPr>
          <w:rFonts w:cs="Arial"/>
          <w:szCs w:val="20"/>
        </w:rPr>
        <w:t xml:space="preserve"> placed youth at greater risk of experiencing violence and exacerbated the effects of exposure. Previous exposure to violence, especially at younger ages, placed individuals at greater risk for future exposure and increased susceptibility to posttraumatic symptoms. Family discord and conflict were also risk factors </w:t>
      </w:r>
      <w:r w:rsidR="005D11E7">
        <w:rPr>
          <w:rFonts w:cs="Arial"/>
          <w:szCs w:val="20"/>
        </w:rPr>
        <w:t>that</w:t>
      </w:r>
      <w:r w:rsidRPr="00713DE4">
        <w:rPr>
          <w:rFonts w:cs="Arial"/>
          <w:szCs w:val="20"/>
        </w:rPr>
        <w:t xml:space="preserve"> often prevented youth from having familial resources for coping with violence related experiences. Academic and behavioral difficulties placed youth at greater risk. Truancy and criminal activity increased violence exposure risk, as did affiliation with peers involved in such activities. The risk factors identified by the youth appeared to both increase the chances of being subjected to violence as well as limit the resources for coping with the physical and emotional effects.</w:t>
      </w:r>
    </w:p>
    <w:p w14:paraId="62F023EC" w14:textId="77777777" w:rsidR="0070088C" w:rsidRDefault="00713DE4" w:rsidP="00713DE4">
      <w:pPr>
        <w:rPr>
          <w:rFonts w:cs="Arial"/>
          <w:szCs w:val="20"/>
        </w:rPr>
      </w:pPr>
      <w:r w:rsidRPr="00713DE4">
        <w:rPr>
          <w:rFonts w:cs="Arial"/>
          <w:szCs w:val="20"/>
        </w:rPr>
        <w:t xml:space="preserve"> </w:t>
      </w:r>
    </w:p>
    <w:p w14:paraId="74F9709B" w14:textId="7F0AB53E" w:rsidR="00713DE4" w:rsidRPr="00713DE4" w:rsidRDefault="0070088C" w:rsidP="00713DE4">
      <w:pPr>
        <w:rPr>
          <w:rFonts w:cs="Arial"/>
          <w:szCs w:val="20"/>
        </w:rPr>
      </w:pPr>
      <w:r>
        <w:rPr>
          <w:noProof/>
        </w:rPr>
        <mc:AlternateContent>
          <mc:Choice Requires="wps">
            <w:drawing>
              <wp:anchor distT="0" distB="0" distL="114300" distR="114300" simplePos="0" relativeHeight="251659264" behindDoc="0" locked="0" layoutInCell="1" allowOverlap="1" wp14:anchorId="58D7FB51" wp14:editId="70D12C90">
                <wp:simplePos x="0" y="0"/>
                <wp:positionH relativeFrom="margin">
                  <wp:posOffset>114300</wp:posOffset>
                </wp:positionH>
                <wp:positionV relativeFrom="margin">
                  <wp:posOffset>114300</wp:posOffset>
                </wp:positionV>
                <wp:extent cx="5372100" cy="51435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143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1E566E" w14:textId="77777777" w:rsidR="0084252C" w:rsidRPr="0070088C" w:rsidRDefault="0084252C" w:rsidP="0070088C">
                            <w:pPr>
                              <w:pStyle w:val="TableTitle"/>
                              <w:rPr>
                                <w:rFonts w:ascii="Arial" w:hAnsi="Arial" w:cs="Arial"/>
                                <w:sz w:val="20"/>
                              </w:rPr>
                            </w:pPr>
                            <w:r w:rsidRPr="0070088C">
                              <w:rPr>
                                <w:rFonts w:ascii="Arial" w:hAnsi="Arial" w:cs="Arial"/>
                                <w:sz w:val="20"/>
                              </w:rPr>
                              <w:t>TABLE I</w:t>
                            </w:r>
                          </w:p>
                          <w:p w14:paraId="2CE69167" w14:textId="6B9429FA" w:rsidR="0084252C" w:rsidRPr="0070088C" w:rsidRDefault="0084252C" w:rsidP="0070088C">
                            <w:pPr>
                              <w:pStyle w:val="TableTitle"/>
                              <w:rPr>
                                <w:rFonts w:ascii="Arial" w:hAnsi="Arial" w:cs="Arial"/>
                              </w:rPr>
                            </w:pPr>
                            <w:r w:rsidRPr="0070088C">
                              <w:rPr>
                                <w:rFonts w:ascii="Arial" w:hAnsi="Arial" w:cs="Arial"/>
                                <w:sz w:val="20"/>
                              </w:rPr>
                              <w:t>Pathwa</w:t>
                            </w:r>
                            <w:r>
                              <w:rPr>
                                <w:rFonts w:ascii="Arial" w:hAnsi="Arial" w:cs="Arial"/>
                                <w:sz w:val="20"/>
                              </w:rPr>
                              <w:t>ys of R</w:t>
                            </w:r>
                            <w:r w:rsidRPr="0070088C">
                              <w:rPr>
                                <w:rFonts w:ascii="Arial" w:hAnsi="Arial" w:cs="Arial"/>
                                <w:sz w:val="20"/>
                              </w:rPr>
                              <w:t>esiliency &amp; Risk in Response to Community Violence</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1980"/>
                              <w:gridCol w:w="2970"/>
                              <w:gridCol w:w="3240"/>
                            </w:tblGrid>
                            <w:tr w:rsidR="0084252C" w:rsidRPr="0070088C" w14:paraId="29570253" w14:textId="77777777" w:rsidTr="00A02B73">
                              <w:trPr>
                                <w:trHeight w:val="440"/>
                              </w:trPr>
                              <w:tc>
                                <w:tcPr>
                                  <w:tcW w:w="1980" w:type="dxa"/>
                                  <w:tcBorders>
                                    <w:top w:val="double" w:sz="6" w:space="0" w:color="auto"/>
                                    <w:left w:val="nil"/>
                                    <w:bottom w:val="single" w:sz="6" w:space="0" w:color="auto"/>
                                    <w:right w:val="nil"/>
                                  </w:tcBorders>
                                  <w:vAlign w:val="center"/>
                                </w:tcPr>
                                <w:p w14:paraId="2464F549" w14:textId="77777777" w:rsidR="0084252C" w:rsidRPr="0070088C" w:rsidRDefault="0084252C" w:rsidP="00F71715">
                                  <w:pPr>
                                    <w:pStyle w:val="TableTitle"/>
                                    <w:jc w:val="left"/>
                                    <w:rPr>
                                      <w:rFonts w:ascii="Arial" w:hAnsi="Arial" w:cs="Arial"/>
                                      <w:sz w:val="18"/>
                                    </w:rPr>
                                  </w:pPr>
                                  <w:r w:rsidRPr="0070088C">
                                    <w:rPr>
                                      <w:rFonts w:ascii="Arial" w:hAnsi="Arial" w:cs="Arial"/>
                                      <w:sz w:val="18"/>
                                    </w:rPr>
                                    <w:t>Development &amp; Community Violence</w:t>
                                  </w:r>
                                </w:p>
                              </w:tc>
                              <w:tc>
                                <w:tcPr>
                                  <w:tcW w:w="2970" w:type="dxa"/>
                                  <w:tcBorders>
                                    <w:top w:val="double" w:sz="6" w:space="0" w:color="auto"/>
                                    <w:left w:val="nil"/>
                                    <w:bottom w:val="single" w:sz="6" w:space="0" w:color="auto"/>
                                    <w:right w:val="nil"/>
                                  </w:tcBorders>
                                  <w:vAlign w:val="center"/>
                                </w:tcPr>
                                <w:p w14:paraId="5022B554" w14:textId="77777777" w:rsidR="0084252C" w:rsidRPr="0070088C" w:rsidRDefault="0084252C" w:rsidP="00F71715">
                                  <w:pPr>
                                    <w:pStyle w:val="TableTitle"/>
                                    <w:jc w:val="left"/>
                                    <w:rPr>
                                      <w:rFonts w:ascii="Arial" w:hAnsi="Arial" w:cs="Arial"/>
                                      <w:sz w:val="18"/>
                                    </w:rPr>
                                  </w:pPr>
                                  <w:r w:rsidRPr="0070088C">
                                    <w:rPr>
                                      <w:rFonts w:ascii="Arial" w:hAnsi="Arial" w:cs="Arial"/>
                                      <w:sz w:val="18"/>
                                    </w:rPr>
                                    <w:t xml:space="preserve">Path of Resiliency: </w:t>
                                  </w:r>
                                </w:p>
                                <w:p w14:paraId="5E93401D" w14:textId="77777777" w:rsidR="0084252C" w:rsidRPr="0070088C" w:rsidRDefault="0084252C" w:rsidP="00F71715">
                                  <w:pPr>
                                    <w:pStyle w:val="TableTitle"/>
                                    <w:jc w:val="left"/>
                                    <w:rPr>
                                      <w:rFonts w:ascii="Arial" w:hAnsi="Arial" w:cs="Arial"/>
                                      <w:smallCaps w:val="0"/>
                                      <w:sz w:val="18"/>
                                    </w:rPr>
                                  </w:pPr>
                                  <w:r w:rsidRPr="0070088C">
                                    <w:rPr>
                                      <w:rFonts w:ascii="Arial" w:hAnsi="Arial" w:cs="Arial"/>
                                      <w:sz w:val="18"/>
                                    </w:rPr>
                                    <w:t>Recovery &amp; Positive Growth</w:t>
                                  </w:r>
                                  <w:r w:rsidRPr="0070088C">
                                    <w:rPr>
                                      <w:rFonts w:ascii="Arial" w:hAnsi="Arial" w:cs="Arial"/>
                                      <w:smallCaps w:val="0"/>
                                      <w:sz w:val="18"/>
                                    </w:rPr>
                                    <w:t xml:space="preserve"> </w:t>
                                  </w:r>
                                </w:p>
                              </w:tc>
                              <w:tc>
                                <w:tcPr>
                                  <w:tcW w:w="3240" w:type="dxa"/>
                                  <w:tcBorders>
                                    <w:top w:val="double" w:sz="6" w:space="0" w:color="auto"/>
                                    <w:left w:val="nil"/>
                                    <w:bottom w:val="single" w:sz="6" w:space="0" w:color="auto"/>
                                    <w:right w:val="nil"/>
                                  </w:tcBorders>
                                  <w:vAlign w:val="center"/>
                                </w:tcPr>
                                <w:p w14:paraId="520F8841" w14:textId="77777777" w:rsidR="0084252C" w:rsidRPr="0070088C" w:rsidRDefault="0084252C" w:rsidP="00F71715">
                                  <w:pPr>
                                    <w:pStyle w:val="TableTitle"/>
                                    <w:jc w:val="left"/>
                                    <w:rPr>
                                      <w:rFonts w:ascii="Arial" w:hAnsi="Arial" w:cs="Arial"/>
                                      <w:sz w:val="18"/>
                                    </w:rPr>
                                  </w:pPr>
                                  <w:r w:rsidRPr="0070088C">
                                    <w:rPr>
                                      <w:rFonts w:ascii="Arial" w:hAnsi="Arial" w:cs="Arial"/>
                                      <w:sz w:val="18"/>
                                    </w:rPr>
                                    <w:t>Path of Risk:</w:t>
                                  </w:r>
                                </w:p>
                                <w:p w14:paraId="38EAF8C9" w14:textId="77777777" w:rsidR="0084252C" w:rsidRPr="0070088C" w:rsidRDefault="0084252C" w:rsidP="00F71715">
                                  <w:pPr>
                                    <w:pStyle w:val="TableTitle"/>
                                    <w:jc w:val="left"/>
                                    <w:rPr>
                                      <w:rFonts w:ascii="Arial" w:hAnsi="Arial" w:cs="Arial"/>
                                      <w:sz w:val="18"/>
                                    </w:rPr>
                                  </w:pPr>
                                  <w:r w:rsidRPr="0070088C">
                                    <w:rPr>
                                      <w:rFonts w:ascii="Arial" w:hAnsi="Arial" w:cs="Arial"/>
                                      <w:sz w:val="18"/>
                                    </w:rPr>
                                    <w:t>Complex Trauma &amp; Violence</w:t>
                                  </w:r>
                                </w:p>
                              </w:tc>
                            </w:tr>
                            <w:tr w:rsidR="0084252C" w14:paraId="6467685E" w14:textId="77777777" w:rsidTr="00A02B73">
                              <w:tc>
                                <w:tcPr>
                                  <w:tcW w:w="1980" w:type="dxa"/>
                                  <w:tcBorders>
                                    <w:top w:val="single" w:sz="6" w:space="0" w:color="auto"/>
                                    <w:left w:val="nil"/>
                                    <w:bottom w:val="single" w:sz="4" w:space="0" w:color="auto"/>
                                    <w:right w:val="nil"/>
                                  </w:tcBorders>
                                </w:tcPr>
                                <w:p w14:paraId="0A00F2B0" w14:textId="77777777" w:rsidR="0084252C" w:rsidRPr="00A02B73" w:rsidRDefault="0084252C">
                                  <w:pPr>
                                    <w:rPr>
                                      <w:i/>
                                      <w:iCs/>
                                      <w:sz w:val="18"/>
                                      <w:szCs w:val="16"/>
                                    </w:rPr>
                                  </w:pPr>
                                  <w:r w:rsidRPr="00A02B73">
                                    <w:rPr>
                                      <w:i/>
                                      <w:iCs/>
                                      <w:sz w:val="18"/>
                                      <w:szCs w:val="16"/>
                                    </w:rPr>
                                    <w:t>Stage I:</w:t>
                                  </w:r>
                                </w:p>
                                <w:p w14:paraId="616AF6D1" w14:textId="77777777" w:rsidR="0084252C" w:rsidRPr="00A02B73" w:rsidRDefault="0084252C">
                                  <w:pPr>
                                    <w:rPr>
                                      <w:i/>
                                      <w:iCs/>
                                      <w:sz w:val="18"/>
                                      <w:szCs w:val="16"/>
                                    </w:rPr>
                                  </w:pPr>
                                  <w:r w:rsidRPr="00A02B73">
                                    <w:rPr>
                                      <w:i/>
                                      <w:iCs/>
                                      <w:sz w:val="18"/>
                                      <w:szCs w:val="16"/>
                                    </w:rPr>
                                    <w:t>Violence Exposure</w:t>
                                  </w:r>
                                </w:p>
                              </w:tc>
                              <w:tc>
                                <w:tcPr>
                                  <w:tcW w:w="2970" w:type="dxa"/>
                                  <w:tcBorders>
                                    <w:top w:val="single" w:sz="6" w:space="0" w:color="auto"/>
                                    <w:left w:val="nil"/>
                                    <w:bottom w:val="single" w:sz="4" w:space="0" w:color="auto"/>
                                    <w:right w:val="nil"/>
                                  </w:tcBorders>
                                </w:tcPr>
                                <w:p w14:paraId="5F8BA88F" w14:textId="77777777" w:rsidR="0084252C" w:rsidRPr="00A02B73" w:rsidRDefault="0084252C">
                                  <w:pPr>
                                    <w:rPr>
                                      <w:i/>
                                      <w:iCs/>
                                      <w:sz w:val="18"/>
                                      <w:szCs w:val="16"/>
                                    </w:rPr>
                                  </w:pPr>
                                </w:p>
                                <w:p w14:paraId="0BCE60BA" w14:textId="77777777" w:rsidR="0084252C" w:rsidRPr="00A02B73" w:rsidRDefault="0084252C">
                                  <w:pPr>
                                    <w:rPr>
                                      <w:i/>
                                      <w:iCs/>
                                      <w:sz w:val="18"/>
                                      <w:szCs w:val="16"/>
                                    </w:rPr>
                                  </w:pPr>
                                  <w:r w:rsidRPr="00A02B73">
                                    <w:rPr>
                                      <w:i/>
                                      <w:iCs/>
                                      <w:sz w:val="18"/>
                                      <w:szCs w:val="16"/>
                                    </w:rPr>
                                    <w:t>Protective Factors</w:t>
                                  </w:r>
                                </w:p>
                              </w:tc>
                              <w:tc>
                                <w:tcPr>
                                  <w:tcW w:w="3240" w:type="dxa"/>
                                  <w:tcBorders>
                                    <w:top w:val="single" w:sz="6" w:space="0" w:color="auto"/>
                                    <w:left w:val="nil"/>
                                    <w:bottom w:val="single" w:sz="4" w:space="0" w:color="auto"/>
                                    <w:right w:val="nil"/>
                                  </w:tcBorders>
                                </w:tcPr>
                                <w:p w14:paraId="07616CD5" w14:textId="77777777" w:rsidR="0084252C" w:rsidRPr="00A02B73" w:rsidRDefault="0084252C">
                                  <w:pPr>
                                    <w:rPr>
                                      <w:i/>
                                      <w:iCs/>
                                      <w:sz w:val="18"/>
                                      <w:szCs w:val="16"/>
                                    </w:rPr>
                                  </w:pPr>
                                </w:p>
                                <w:p w14:paraId="3F98CFC4" w14:textId="77777777" w:rsidR="0084252C" w:rsidRPr="00A02B73" w:rsidRDefault="0084252C">
                                  <w:pPr>
                                    <w:rPr>
                                      <w:i/>
                                      <w:iCs/>
                                      <w:sz w:val="18"/>
                                      <w:szCs w:val="16"/>
                                    </w:rPr>
                                  </w:pPr>
                                  <w:r w:rsidRPr="00A02B73">
                                    <w:rPr>
                                      <w:i/>
                                      <w:iCs/>
                                      <w:sz w:val="18"/>
                                      <w:szCs w:val="16"/>
                                    </w:rPr>
                                    <w:t>Risk Factors</w:t>
                                  </w:r>
                                </w:p>
                              </w:tc>
                            </w:tr>
                            <w:tr w:rsidR="0084252C" w14:paraId="62B7CB07" w14:textId="77777777" w:rsidTr="00A02B73">
                              <w:tc>
                                <w:tcPr>
                                  <w:tcW w:w="1980" w:type="dxa"/>
                                  <w:tcBorders>
                                    <w:top w:val="single" w:sz="4" w:space="0" w:color="auto"/>
                                    <w:left w:val="nil"/>
                                    <w:bottom w:val="single" w:sz="4" w:space="0" w:color="auto"/>
                                    <w:right w:val="nil"/>
                                  </w:tcBorders>
                                </w:tcPr>
                                <w:p w14:paraId="6E1BDA01" w14:textId="77777777" w:rsidR="0084252C" w:rsidRPr="00A02B73" w:rsidRDefault="0084252C">
                                  <w:pPr>
                                    <w:rPr>
                                      <w:i/>
                                      <w:iCs/>
                                      <w:sz w:val="18"/>
                                      <w:szCs w:val="16"/>
                                    </w:rPr>
                                  </w:pPr>
                                </w:p>
                              </w:tc>
                              <w:tc>
                                <w:tcPr>
                                  <w:tcW w:w="2970" w:type="dxa"/>
                                  <w:tcBorders>
                                    <w:top w:val="single" w:sz="4" w:space="0" w:color="auto"/>
                                    <w:left w:val="nil"/>
                                    <w:bottom w:val="single" w:sz="4" w:space="0" w:color="auto"/>
                                    <w:right w:val="nil"/>
                                  </w:tcBorders>
                                </w:tcPr>
                                <w:p w14:paraId="3D873BDE" w14:textId="77777777" w:rsidR="0084252C" w:rsidRPr="00A02B73" w:rsidRDefault="0084252C" w:rsidP="00F71715">
                                  <w:pPr>
                                    <w:rPr>
                                      <w:sz w:val="18"/>
                                      <w:szCs w:val="16"/>
                                    </w:rPr>
                                  </w:pPr>
                                  <w:r w:rsidRPr="00A02B73">
                                    <w:rPr>
                                      <w:sz w:val="18"/>
                                      <w:szCs w:val="16"/>
                                    </w:rPr>
                                    <w:t>Close support system</w:t>
                                  </w:r>
                                </w:p>
                                <w:p w14:paraId="081095E2" w14:textId="77777777" w:rsidR="0084252C" w:rsidRPr="00A02B73" w:rsidRDefault="0084252C" w:rsidP="00F71715">
                                  <w:pPr>
                                    <w:rPr>
                                      <w:sz w:val="18"/>
                                      <w:szCs w:val="16"/>
                                    </w:rPr>
                                  </w:pPr>
                                  <w:r w:rsidRPr="00A02B73">
                                    <w:rPr>
                                      <w:sz w:val="18"/>
                                      <w:szCs w:val="16"/>
                                    </w:rPr>
                                    <w:t>Safer environment</w:t>
                                  </w:r>
                                </w:p>
                                <w:p w14:paraId="7F52B798" w14:textId="77777777" w:rsidR="0084252C" w:rsidRPr="00A02B73" w:rsidRDefault="0084252C" w:rsidP="00F71715">
                                  <w:pPr>
                                    <w:rPr>
                                      <w:i/>
                                      <w:sz w:val="18"/>
                                    </w:rPr>
                                  </w:pPr>
                                  <w:r w:rsidRPr="00A02B73">
                                    <w:rPr>
                                      <w:sz w:val="18"/>
                                      <w:szCs w:val="16"/>
                                    </w:rPr>
                                    <w:t>Positive behaviors</w:t>
                                  </w:r>
                                </w:p>
                              </w:tc>
                              <w:tc>
                                <w:tcPr>
                                  <w:tcW w:w="3240" w:type="dxa"/>
                                  <w:tcBorders>
                                    <w:top w:val="single" w:sz="4" w:space="0" w:color="auto"/>
                                    <w:left w:val="nil"/>
                                    <w:bottom w:val="single" w:sz="4" w:space="0" w:color="auto"/>
                                    <w:right w:val="nil"/>
                                  </w:tcBorders>
                                </w:tcPr>
                                <w:p w14:paraId="235A40C6" w14:textId="77777777" w:rsidR="0084252C" w:rsidRPr="00A02B73" w:rsidRDefault="0084252C" w:rsidP="00F71715">
                                  <w:pPr>
                                    <w:rPr>
                                      <w:sz w:val="18"/>
                                      <w:szCs w:val="16"/>
                                    </w:rPr>
                                  </w:pPr>
                                  <w:r w:rsidRPr="00A02B73">
                                    <w:rPr>
                                      <w:sz w:val="18"/>
                                      <w:szCs w:val="16"/>
                                    </w:rPr>
                                    <w:t>Few intimate resources</w:t>
                                  </w:r>
                                </w:p>
                                <w:p w14:paraId="5873BDD3" w14:textId="77777777" w:rsidR="0084252C" w:rsidRPr="00A02B73" w:rsidRDefault="0084252C" w:rsidP="00F71715">
                                  <w:pPr>
                                    <w:rPr>
                                      <w:sz w:val="18"/>
                                      <w:szCs w:val="16"/>
                                    </w:rPr>
                                  </w:pPr>
                                  <w:r w:rsidRPr="00A02B73">
                                    <w:rPr>
                                      <w:sz w:val="18"/>
                                      <w:szCs w:val="16"/>
                                    </w:rPr>
                                    <w:t>Chronic violence</w:t>
                                  </w:r>
                                </w:p>
                                <w:p w14:paraId="6B4635F2" w14:textId="77777777" w:rsidR="0084252C" w:rsidRPr="00A02B73" w:rsidRDefault="0084252C" w:rsidP="00F71715">
                                  <w:pPr>
                                    <w:rPr>
                                      <w:sz w:val="18"/>
                                      <w:szCs w:val="16"/>
                                    </w:rPr>
                                  </w:pPr>
                                  <w:r w:rsidRPr="00A02B73">
                                    <w:rPr>
                                      <w:sz w:val="18"/>
                                      <w:szCs w:val="16"/>
                                    </w:rPr>
                                    <w:t>Previous trauma</w:t>
                                  </w:r>
                                </w:p>
                                <w:p w14:paraId="7F906D23" w14:textId="77777777" w:rsidR="0084252C" w:rsidRPr="00A02B73" w:rsidRDefault="0084252C" w:rsidP="00F71715">
                                  <w:pPr>
                                    <w:rPr>
                                      <w:sz w:val="18"/>
                                      <w:szCs w:val="16"/>
                                      <w:vertAlign w:val="superscript"/>
                                    </w:rPr>
                                  </w:pPr>
                                  <w:r w:rsidRPr="00A02B73">
                                    <w:rPr>
                                      <w:sz w:val="18"/>
                                      <w:szCs w:val="16"/>
                                    </w:rPr>
                                    <w:t xml:space="preserve">Risk-taking behavior </w:t>
                                  </w:r>
                                </w:p>
                              </w:tc>
                            </w:tr>
                            <w:tr w:rsidR="0084252C" w14:paraId="53B2FA10" w14:textId="77777777" w:rsidTr="00A02B73">
                              <w:tc>
                                <w:tcPr>
                                  <w:tcW w:w="1980" w:type="dxa"/>
                                  <w:tcBorders>
                                    <w:top w:val="single" w:sz="4" w:space="0" w:color="auto"/>
                                    <w:left w:val="nil"/>
                                    <w:bottom w:val="single" w:sz="4" w:space="0" w:color="auto"/>
                                    <w:right w:val="nil"/>
                                  </w:tcBorders>
                                </w:tcPr>
                                <w:p w14:paraId="3FF4BA5D" w14:textId="77777777" w:rsidR="0084252C" w:rsidRPr="00A02B73" w:rsidRDefault="0084252C">
                                  <w:pPr>
                                    <w:rPr>
                                      <w:i/>
                                      <w:iCs/>
                                      <w:sz w:val="18"/>
                                      <w:szCs w:val="16"/>
                                    </w:rPr>
                                  </w:pPr>
                                  <w:r w:rsidRPr="00A02B73">
                                    <w:rPr>
                                      <w:i/>
                                      <w:iCs/>
                                      <w:sz w:val="18"/>
                                      <w:szCs w:val="16"/>
                                    </w:rPr>
                                    <w:t>Stage II:</w:t>
                                  </w:r>
                                </w:p>
                                <w:p w14:paraId="2A9E4E10" w14:textId="77777777" w:rsidR="0084252C" w:rsidRPr="00A02B73" w:rsidRDefault="0084252C">
                                  <w:pPr>
                                    <w:rPr>
                                      <w:i/>
                                      <w:iCs/>
                                      <w:sz w:val="18"/>
                                      <w:szCs w:val="16"/>
                                    </w:rPr>
                                  </w:pPr>
                                  <w:r w:rsidRPr="00A02B73">
                                    <w:rPr>
                                      <w:i/>
                                      <w:iCs/>
                                      <w:sz w:val="18"/>
                                      <w:szCs w:val="16"/>
                                    </w:rPr>
                                    <w:t>Critical Incident</w:t>
                                  </w:r>
                                </w:p>
                              </w:tc>
                              <w:tc>
                                <w:tcPr>
                                  <w:tcW w:w="2970" w:type="dxa"/>
                                  <w:tcBorders>
                                    <w:top w:val="single" w:sz="4" w:space="0" w:color="auto"/>
                                    <w:left w:val="nil"/>
                                    <w:bottom w:val="single" w:sz="4" w:space="0" w:color="auto"/>
                                    <w:right w:val="nil"/>
                                  </w:tcBorders>
                                </w:tcPr>
                                <w:p w14:paraId="16259235" w14:textId="77777777" w:rsidR="0084252C" w:rsidRPr="00A02B73" w:rsidRDefault="0084252C">
                                  <w:pPr>
                                    <w:rPr>
                                      <w:i/>
                                      <w:iCs/>
                                      <w:sz w:val="18"/>
                                      <w:szCs w:val="16"/>
                                    </w:rPr>
                                  </w:pPr>
                                </w:p>
                                <w:p w14:paraId="3A66BF4A" w14:textId="77777777" w:rsidR="0084252C" w:rsidRPr="00A02B73" w:rsidRDefault="0084252C">
                                  <w:pPr>
                                    <w:rPr>
                                      <w:i/>
                                      <w:iCs/>
                                      <w:sz w:val="18"/>
                                      <w:szCs w:val="16"/>
                                    </w:rPr>
                                  </w:pPr>
                                  <w:r w:rsidRPr="00A02B73">
                                    <w:rPr>
                                      <w:i/>
                                      <w:iCs/>
                                      <w:sz w:val="18"/>
                                      <w:szCs w:val="16"/>
                                    </w:rPr>
                                    <w:t>Distress &amp; Loss</w:t>
                                  </w:r>
                                </w:p>
                              </w:tc>
                              <w:tc>
                                <w:tcPr>
                                  <w:tcW w:w="3240" w:type="dxa"/>
                                  <w:tcBorders>
                                    <w:top w:val="single" w:sz="4" w:space="0" w:color="auto"/>
                                    <w:left w:val="nil"/>
                                    <w:bottom w:val="single" w:sz="4" w:space="0" w:color="auto"/>
                                    <w:right w:val="nil"/>
                                  </w:tcBorders>
                                </w:tcPr>
                                <w:p w14:paraId="12C55107" w14:textId="77777777" w:rsidR="0084252C" w:rsidRPr="00A02B73" w:rsidRDefault="0084252C">
                                  <w:pPr>
                                    <w:rPr>
                                      <w:i/>
                                      <w:iCs/>
                                      <w:sz w:val="18"/>
                                      <w:szCs w:val="16"/>
                                    </w:rPr>
                                  </w:pPr>
                                </w:p>
                                <w:p w14:paraId="36C23689" w14:textId="77777777" w:rsidR="0084252C" w:rsidRPr="00A02B73" w:rsidRDefault="0084252C">
                                  <w:pPr>
                                    <w:rPr>
                                      <w:i/>
                                      <w:iCs/>
                                      <w:sz w:val="18"/>
                                      <w:szCs w:val="16"/>
                                    </w:rPr>
                                  </w:pPr>
                                  <w:r w:rsidRPr="00A02B73">
                                    <w:rPr>
                                      <w:i/>
                                      <w:iCs/>
                                      <w:sz w:val="18"/>
                                      <w:szCs w:val="16"/>
                                    </w:rPr>
                                    <w:t>Numbing &amp; Anger</w:t>
                                  </w:r>
                                </w:p>
                              </w:tc>
                            </w:tr>
                            <w:tr w:rsidR="0084252C" w:rsidRPr="00E265FB" w14:paraId="4FAAB87E" w14:textId="77777777" w:rsidTr="00A02B73">
                              <w:tc>
                                <w:tcPr>
                                  <w:tcW w:w="1980" w:type="dxa"/>
                                  <w:tcBorders>
                                    <w:top w:val="single" w:sz="4" w:space="0" w:color="auto"/>
                                    <w:left w:val="nil"/>
                                    <w:bottom w:val="single" w:sz="4" w:space="0" w:color="auto"/>
                                    <w:right w:val="nil"/>
                                  </w:tcBorders>
                                </w:tcPr>
                                <w:p w14:paraId="14301EEB" w14:textId="77777777" w:rsidR="0084252C" w:rsidRPr="00A02B73" w:rsidRDefault="0084252C">
                                  <w:pPr>
                                    <w:rPr>
                                      <w:i/>
                                      <w:iCs/>
                                      <w:sz w:val="18"/>
                                      <w:szCs w:val="16"/>
                                    </w:rPr>
                                  </w:pPr>
                                </w:p>
                              </w:tc>
                              <w:tc>
                                <w:tcPr>
                                  <w:tcW w:w="2970" w:type="dxa"/>
                                  <w:tcBorders>
                                    <w:top w:val="single" w:sz="4" w:space="0" w:color="auto"/>
                                    <w:left w:val="nil"/>
                                    <w:bottom w:val="single" w:sz="4" w:space="0" w:color="auto"/>
                                    <w:right w:val="nil"/>
                                  </w:tcBorders>
                                </w:tcPr>
                                <w:p w14:paraId="151ECE74" w14:textId="77777777" w:rsidR="0084252C" w:rsidRPr="00A02B73" w:rsidRDefault="0084252C" w:rsidP="00F71715">
                                  <w:pPr>
                                    <w:rPr>
                                      <w:sz w:val="18"/>
                                      <w:szCs w:val="16"/>
                                    </w:rPr>
                                  </w:pPr>
                                  <w:r w:rsidRPr="00A02B73">
                                    <w:rPr>
                                      <w:sz w:val="18"/>
                                      <w:szCs w:val="16"/>
                                    </w:rPr>
                                    <w:t>Acute PTSD &amp; grief</w:t>
                                  </w:r>
                                </w:p>
                                <w:p w14:paraId="59E2EAA4" w14:textId="77777777" w:rsidR="0084252C" w:rsidRPr="00A02B73" w:rsidRDefault="0084252C" w:rsidP="00F71715">
                                  <w:pPr>
                                    <w:rPr>
                                      <w:sz w:val="18"/>
                                      <w:szCs w:val="16"/>
                                    </w:rPr>
                                  </w:pPr>
                                  <w:r w:rsidRPr="00A02B73">
                                    <w:rPr>
                                      <w:sz w:val="18"/>
                                      <w:szCs w:val="16"/>
                                    </w:rPr>
                                    <w:t>Life changing event</w:t>
                                  </w:r>
                                </w:p>
                                <w:p w14:paraId="71507FC0" w14:textId="77777777" w:rsidR="0084252C" w:rsidRPr="00A02B73" w:rsidRDefault="0084252C" w:rsidP="00F71715">
                                  <w:pPr>
                                    <w:rPr>
                                      <w:sz w:val="18"/>
                                      <w:szCs w:val="16"/>
                                    </w:rPr>
                                  </w:pPr>
                                  <w:r w:rsidRPr="00A02B73">
                                    <w:rPr>
                                      <w:sz w:val="18"/>
                                      <w:szCs w:val="16"/>
                                    </w:rPr>
                                    <w:t>Immediate safety</w:t>
                                  </w:r>
                                </w:p>
                              </w:tc>
                              <w:tc>
                                <w:tcPr>
                                  <w:tcW w:w="3240" w:type="dxa"/>
                                  <w:tcBorders>
                                    <w:top w:val="single" w:sz="4" w:space="0" w:color="auto"/>
                                    <w:left w:val="nil"/>
                                    <w:bottom w:val="single" w:sz="4" w:space="0" w:color="auto"/>
                                    <w:right w:val="nil"/>
                                  </w:tcBorders>
                                </w:tcPr>
                                <w:p w14:paraId="3841D15A" w14:textId="77777777" w:rsidR="0084252C" w:rsidRPr="00A02B73" w:rsidRDefault="0084252C" w:rsidP="00F71715">
                                  <w:pPr>
                                    <w:rPr>
                                      <w:sz w:val="18"/>
                                      <w:szCs w:val="16"/>
                                    </w:rPr>
                                  </w:pPr>
                                  <w:r w:rsidRPr="00A02B73">
                                    <w:rPr>
                                      <w:sz w:val="18"/>
                                      <w:szCs w:val="16"/>
                                    </w:rPr>
                                    <w:t>Avoidance of support</w:t>
                                  </w:r>
                                </w:p>
                                <w:p w14:paraId="5009330D" w14:textId="77777777" w:rsidR="0084252C" w:rsidRPr="00A02B73" w:rsidRDefault="0084252C" w:rsidP="00F71715">
                                  <w:pPr>
                                    <w:rPr>
                                      <w:sz w:val="18"/>
                                      <w:szCs w:val="16"/>
                                    </w:rPr>
                                  </w:pPr>
                                  <w:r w:rsidRPr="00A02B73">
                                    <w:rPr>
                                      <w:sz w:val="18"/>
                                      <w:szCs w:val="16"/>
                                    </w:rPr>
                                    <w:t>Numbing of affect</w:t>
                                  </w:r>
                                </w:p>
                                <w:p w14:paraId="0BF84CE6" w14:textId="77777777" w:rsidR="0084252C" w:rsidRPr="00A02B73" w:rsidRDefault="0084252C" w:rsidP="00F71715">
                                  <w:pPr>
                                    <w:rPr>
                                      <w:sz w:val="18"/>
                                      <w:szCs w:val="16"/>
                                    </w:rPr>
                                  </w:pPr>
                                  <w:r w:rsidRPr="00A02B73">
                                    <w:rPr>
                                      <w:sz w:val="18"/>
                                      <w:szCs w:val="16"/>
                                    </w:rPr>
                                    <w:t xml:space="preserve">Anger </w:t>
                                  </w:r>
                                </w:p>
                              </w:tc>
                            </w:tr>
                            <w:tr w:rsidR="0084252C" w14:paraId="007CEE0F" w14:textId="77777777" w:rsidTr="00A02B73">
                              <w:tc>
                                <w:tcPr>
                                  <w:tcW w:w="1980" w:type="dxa"/>
                                  <w:tcBorders>
                                    <w:top w:val="single" w:sz="4" w:space="0" w:color="auto"/>
                                    <w:left w:val="nil"/>
                                    <w:bottom w:val="single" w:sz="4" w:space="0" w:color="auto"/>
                                    <w:right w:val="nil"/>
                                  </w:tcBorders>
                                </w:tcPr>
                                <w:p w14:paraId="6374A8AA" w14:textId="77777777" w:rsidR="0084252C" w:rsidRPr="00A02B73" w:rsidRDefault="0084252C">
                                  <w:pPr>
                                    <w:rPr>
                                      <w:i/>
                                      <w:iCs/>
                                      <w:sz w:val="18"/>
                                      <w:szCs w:val="16"/>
                                    </w:rPr>
                                  </w:pPr>
                                  <w:r w:rsidRPr="00A02B73">
                                    <w:rPr>
                                      <w:i/>
                                      <w:iCs/>
                                      <w:sz w:val="18"/>
                                      <w:szCs w:val="16"/>
                                    </w:rPr>
                                    <w:t>Stage III:</w:t>
                                  </w:r>
                                </w:p>
                                <w:p w14:paraId="0D777B5F" w14:textId="77777777" w:rsidR="0084252C" w:rsidRPr="00A02B73" w:rsidRDefault="0084252C">
                                  <w:pPr>
                                    <w:rPr>
                                      <w:i/>
                                      <w:iCs/>
                                      <w:sz w:val="18"/>
                                      <w:szCs w:val="16"/>
                                    </w:rPr>
                                  </w:pPr>
                                  <w:r w:rsidRPr="00A02B73">
                                    <w:rPr>
                                      <w:i/>
                                      <w:iCs/>
                                      <w:sz w:val="18"/>
                                      <w:szCs w:val="16"/>
                                    </w:rPr>
                                    <w:t>Internal Response</w:t>
                                  </w:r>
                                </w:p>
                              </w:tc>
                              <w:tc>
                                <w:tcPr>
                                  <w:tcW w:w="2970" w:type="dxa"/>
                                  <w:tcBorders>
                                    <w:top w:val="single" w:sz="4" w:space="0" w:color="auto"/>
                                    <w:left w:val="nil"/>
                                    <w:bottom w:val="single" w:sz="4" w:space="0" w:color="auto"/>
                                    <w:right w:val="nil"/>
                                  </w:tcBorders>
                                </w:tcPr>
                                <w:p w14:paraId="3BC4976C" w14:textId="77777777" w:rsidR="0084252C" w:rsidRPr="00A02B73" w:rsidRDefault="0084252C">
                                  <w:pPr>
                                    <w:rPr>
                                      <w:i/>
                                      <w:iCs/>
                                      <w:sz w:val="18"/>
                                      <w:szCs w:val="16"/>
                                    </w:rPr>
                                  </w:pPr>
                                </w:p>
                                <w:p w14:paraId="7FF1CEA4" w14:textId="77777777" w:rsidR="0084252C" w:rsidRPr="00A02B73" w:rsidRDefault="0084252C">
                                  <w:pPr>
                                    <w:rPr>
                                      <w:i/>
                                      <w:iCs/>
                                      <w:sz w:val="18"/>
                                      <w:szCs w:val="16"/>
                                    </w:rPr>
                                  </w:pPr>
                                  <w:r w:rsidRPr="00A02B73">
                                    <w:rPr>
                                      <w:i/>
                                      <w:iCs/>
                                      <w:sz w:val="18"/>
                                      <w:szCs w:val="16"/>
                                    </w:rPr>
                                    <w:t>Personal Meaning &amp; Faith</w:t>
                                  </w:r>
                                </w:p>
                              </w:tc>
                              <w:tc>
                                <w:tcPr>
                                  <w:tcW w:w="3240" w:type="dxa"/>
                                  <w:tcBorders>
                                    <w:top w:val="single" w:sz="4" w:space="0" w:color="auto"/>
                                    <w:left w:val="nil"/>
                                    <w:bottom w:val="single" w:sz="4" w:space="0" w:color="auto"/>
                                    <w:right w:val="nil"/>
                                  </w:tcBorders>
                                </w:tcPr>
                                <w:p w14:paraId="7A91638F" w14:textId="77777777" w:rsidR="0084252C" w:rsidRPr="00A02B73" w:rsidRDefault="0084252C">
                                  <w:pPr>
                                    <w:rPr>
                                      <w:i/>
                                      <w:iCs/>
                                      <w:sz w:val="18"/>
                                      <w:szCs w:val="16"/>
                                    </w:rPr>
                                  </w:pPr>
                                </w:p>
                                <w:p w14:paraId="36A55A10" w14:textId="77777777" w:rsidR="0084252C" w:rsidRPr="00A02B73" w:rsidRDefault="0084252C">
                                  <w:pPr>
                                    <w:rPr>
                                      <w:i/>
                                      <w:iCs/>
                                      <w:sz w:val="18"/>
                                      <w:szCs w:val="16"/>
                                    </w:rPr>
                                  </w:pPr>
                                  <w:r w:rsidRPr="00A02B73">
                                    <w:rPr>
                                      <w:i/>
                                      <w:iCs/>
                                      <w:sz w:val="18"/>
                                      <w:szCs w:val="16"/>
                                    </w:rPr>
                                    <w:t>Hopelessness &amp; Self Preservation</w:t>
                                  </w:r>
                                </w:p>
                              </w:tc>
                            </w:tr>
                            <w:tr w:rsidR="0084252C" w14:paraId="3F38FC08" w14:textId="77777777" w:rsidTr="00A02B73">
                              <w:tc>
                                <w:tcPr>
                                  <w:tcW w:w="1980" w:type="dxa"/>
                                  <w:tcBorders>
                                    <w:top w:val="single" w:sz="4" w:space="0" w:color="auto"/>
                                    <w:left w:val="nil"/>
                                    <w:bottom w:val="single" w:sz="4" w:space="0" w:color="auto"/>
                                    <w:right w:val="nil"/>
                                  </w:tcBorders>
                                </w:tcPr>
                                <w:p w14:paraId="53C56B8C" w14:textId="77777777" w:rsidR="0084252C" w:rsidRPr="00A02B73" w:rsidRDefault="0084252C">
                                  <w:pPr>
                                    <w:rPr>
                                      <w:i/>
                                      <w:iCs/>
                                      <w:sz w:val="18"/>
                                      <w:szCs w:val="16"/>
                                    </w:rPr>
                                  </w:pPr>
                                </w:p>
                              </w:tc>
                              <w:tc>
                                <w:tcPr>
                                  <w:tcW w:w="2970" w:type="dxa"/>
                                  <w:tcBorders>
                                    <w:top w:val="single" w:sz="4" w:space="0" w:color="auto"/>
                                    <w:left w:val="nil"/>
                                    <w:bottom w:val="single" w:sz="4" w:space="0" w:color="auto"/>
                                    <w:right w:val="nil"/>
                                  </w:tcBorders>
                                </w:tcPr>
                                <w:p w14:paraId="57BBB93E" w14:textId="77777777" w:rsidR="0084252C" w:rsidRPr="00A02B73" w:rsidRDefault="0084252C" w:rsidP="00F71715">
                                  <w:pPr>
                                    <w:rPr>
                                      <w:sz w:val="18"/>
                                      <w:szCs w:val="16"/>
                                    </w:rPr>
                                  </w:pPr>
                                  <w:r w:rsidRPr="00A02B73">
                                    <w:rPr>
                                      <w:sz w:val="18"/>
                                      <w:szCs w:val="16"/>
                                    </w:rPr>
                                    <w:t>Spirituality &amp; existential searching</w:t>
                                  </w:r>
                                </w:p>
                                <w:p w14:paraId="57BE6D98" w14:textId="77777777" w:rsidR="0084252C" w:rsidRPr="00A02B73" w:rsidRDefault="0084252C" w:rsidP="00F71715">
                                  <w:pPr>
                                    <w:rPr>
                                      <w:sz w:val="18"/>
                                      <w:szCs w:val="16"/>
                                    </w:rPr>
                                  </w:pPr>
                                  <w:r w:rsidRPr="00A02B73">
                                    <w:rPr>
                                      <w:sz w:val="18"/>
                                      <w:szCs w:val="16"/>
                                    </w:rPr>
                                    <w:t>Increased morality</w:t>
                                  </w:r>
                                </w:p>
                                <w:p w14:paraId="3F7F338A" w14:textId="77777777" w:rsidR="0084252C" w:rsidRPr="00A02B73" w:rsidRDefault="0084252C" w:rsidP="00F71715">
                                  <w:pPr>
                                    <w:rPr>
                                      <w:sz w:val="18"/>
                                      <w:szCs w:val="16"/>
                                    </w:rPr>
                                  </w:pPr>
                                  <w:r w:rsidRPr="00A02B73">
                                    <w:rPr>
                                      <w:sz w:val="18"/>
                                      <w:szCs w:val="16"/>
                                    </w:rPr>
                                    <w:t xml:space="preserve">Positive reframing </w:t>
                                  </w:r>
                                </w:p>
                              </w:tc>
                              <w:tc>
                                <w:tcPr>
                                  <w:tcW w:w="3240" w:type="dxa"/>
                                  <w:tcBorders>
                                    <w:top w:val="single" w:sz="4" w:space="0" w:color="auto"/>
                                    <w:left w:val="nil"/>
                                    <w:bottom w:val="single" w:sz="4" w:space="0" w:color="auto"/>
                                    <w:right w:val="nil"/>
                                  </w:tcBorders>
                                </w:tcPr>
                                <w:p w14:paraId="0DE90E60" w14:textId="77777777" w:rsidR="0084252C" w:rsidRPr="00A02B73" w:rsidRDefault="0084252C" w:rsidP="00F71715">
                                  <w:pPr>
                                    <w:rPr>
                                      <w:sz w:val="18"/>
                                      <w:szCs w:val="16"/>
                                    </w:rPr>
                                  </w:pPr>
                                  <w:r w:rsidRPr="00A02B73">
                                    <w:rPr>
                                      <w:sz w:val="18"/>
                                      <w:szCs w:val="16"/>
                                    </w:rPr>
                                    <w:t>Emotional dysregulation</w:t>
                                  </w:r>
                                </w:p>
                                <w:p w14:paraId="40D9392A" w14:textId="77777777" w:rsidR="0084252C" w:rsidRPr="00A02B73" w:rsidRDefault="0084252C" w:rsidP="00F71715">
                                  <w:pPr>
                                    <w:rPr>
                                      <w:sz w:val="18"/>
                                      <w:szCs w:val="16"/>
                                    </w:rPr>
                                  </w:pPr>
                                  <w:r w:rsidRPr="00A02B73">
                                    <w:rPr>
                                      <w:sz w:val="18"/>
                                      <w:szCs w:val="16"/>
                                    </w:rPr>
                                    <w:t>Self-destructiveness</w:t>
                                  </w:r>
                                </w:p>
                                <w:p w14:paraId="6872D440" w14:textId="77777777" w:rsidR="0084252C" w:rsidRPr="00A02B73" w:rsidRDefault="0084252C" w:rsidP="00F71715">
                                  <w:pPr>
                                    <w:rPr>
                                      <w:sz w:val="18"/>
                                      <w:szCs w:val="16"/>
                                    </w:rPr>
                                  </w:pPr>
                                  <w:r w:rsidRPr="00A02B73">
                                    <w:rPr>
                                      <w:sz w:val="18"/>
                                      <w:szCs w:val="16"/>
                                    </w:rPr>
                                    <w:t>Negative self-concept</w:t>
                                  </w:r>
                                </w:p>
                                <w:p w14:paraId="18458CD8" w14:textId="77777777" w:rsidR="0084252C" w:rsidRPr="00A02B73" w:rsidRDefault="0084252C" w:rsidP="00F71715">
                                  <w:pPr>
                                    <w:rPr>
                                      <w:sz w:val="18"/>
                                      <w:szCs w:val="16"/>
                                    </w:rPr>
                                  </w:pPr>
                                  <w:r w:rsidRPr="00A02B73">
                                    <w:rPr>
                                      <w:sz w:val="18"/>
                                      <w:szCs w:val="16"/>
                                    </w:rPr>
                                    <w:t>Truncated morality</w:t>
                                  </w:r>
                                </w:p>
                              </w:tc>
                            </w:tr>
                            <w:tr w:rsidR="0084252C" w14:paraId="63D5A78F" w14:textId="77777777" w:rsidTr="00A02B73">
                              <w:tc>
                                <w:tcPr>
                                  <w:tcW w:w="1980" w:type="dxa"/>
                                  <w:tcBorders>
                                    <w:top w:val="single" w:sz="4" w:space="0" w:color="auto"/>
                                    <w:left w:val="nil"/>
                                    <w:bottom w:val="single" w:sz="4" w:space="0" w:color="auto"/>
                                    <w:right w:val="nil"/>
                                  </w:tcBorders>
                                </w:tcPr>
                                <w:p w14:paraId="08299647" w14:textId="77777777" w:rsidR="0084252C" w:rsidRPr="00A02B73" w:rsidRDefault="0084252C">
                                  <w:pPr>
                                    <w:rPr>
                                      <w:i/>
                                      <w:iCs/>
                                      <w:sz w:val="18"/>
                                      <w:szCs w:val="16"/>
                                    </w:rPr>
                                  </w:pPr>
                                  <w:r w:rsidRPr="00A02B73">
                                    <w:rPr>
                                      <w:i/>
                                      <w:iCs/>
                                      <w:sz w:val="18"/>
                                      <w:szCs w:val="16"/>
                                    </w:rPr>
                                    <w:t>Stage IV:</w:t>
                                  </w:r>
                                </w:p>
                                <w:p w14:paraId="3E76CD54" w14:textId="77777777" w:rsidR="0084252C" w:rsidRPr="00A02B73" w:rsidRDefault="0084252C">
                                  <w:pPr>
                                    <w:rPr>
                                      <w:i/>
                                      <w:iCs/>
                                      <w:sz w:val="18"/>
                                      <w:szCs w:val="16"/>
                                    </w:rPr>
                                  </w:pPr>
                                  <w:r w:rsidRPr="00A02B73">
                                    <w:rPr>
                                      <w:i/>
                                      <w:iCs/>
                                      <w:sz w:val="18"/>
                                      <w:szCs w:val="16"/>
                                    </w:rPr>
                                    <w:t>Social Interaction</w:t>
                                  </w:r>
                                </w:p>
                              </w:tc>
                              <w:tc>
                                <w:tcPr>
                                  <w:tcW w:w="2970" w:type="dxa"/>
                                  <w:tcBorders>
                                    <w:top w:val="single" w:sz="4" w:space="0" w:color="auto"/>
                                    <w:left w:val="nil"/>
                                    <w:bottom w:val="single" w:sz="4" w:space="0" w:color="auto"/>
                                    <w:right w:val="nil"/>
                                  </w:tcBorders>
                                </w:tcPr>
                                <w:p w14:paraId="6EAFD772" w14:textId="77777777" w:rsidR="0084252C" w:rsidRPr="00A02B73" w:rsidRDefault="0084252C">
                                  <w:pPr>
                                    <w:rPr>
                                      <w:i/>
                                      <w:iCs/>
                                      <w:sz w:val="18"/>
                                      <w:szCs w:val="16"/>
                                    </w:rPr>
                                  </w:pPr>
                                </w:p>
                                <w:p w14:paraId="6AE918A3" w14:textId="77777777" w:rsidR="0084252C" w:rsidRPr="00A02B73" w:rsidRDefault="0084252C">
                                  <w:pPr>
                                    <w:rPr>
                                      <w:i/>
                                      <w:iCs/>
                                      <w:sz w:val="18"/>
                                      <w:szCs w:val="16"/>
                                    </w:rPr>
                                  </w:pPr>
                                  <w:r w:rsidRPr="00A02B73">
                                    <w:rPr>
                                      <w:i/>
                                      <w:iCs/>
                                      <w:sz w:val="18"/>
                                      <w:szCs w:val="16"/>
                                    </w:rPr>
                                    <w:t>Reaching Out</w:t>
                                  </w:r>
                                </w:p>
                              </w:tc>
                              <w:tc>
                                <w:tcPr>
                                  <w:tcW w:w="3240" w:type="dxa"/>
                                  <w:tcBorders>
                                    <w:top w:val="single" w:sz="4" w:space="0" w:color="auto"/>
                                    <w:left w:val="nil"/>
                                    <w:bottom w:val="single" w:sz="4" w:space="0" w:color="auto"/>
                                    <w:right w:val="nil"/>
                                  </w:tcBorders>
                                </w:tcPr>
                                <w:p w14:paraId="0B631888" w14:textId="77777777" w:rsidR="0084252C" w:rsidRPr="00A02B73" w:rsidRDefault="0084252C">
                                  <w:pPr>
                                    <w:rPr>
                                      <w:i/>
                                      <w:iCs/>
                                      <w:sz w:val="18"/>
                                      <w:szCs w:val="16"/>
                                    </w:rPr>
                                  </w:pPr>
                                </w:p>
                                <w:p w14:paraId="73B0E1DC" w14:textId="77777777" w:rsidR="0084252C" w:rsidRPr="00A02B73" w:rsidRDefault="0084252C">
                                  <w:pPr>
                                    <w:rPr>
                                      <w:i/>
                                      <w:iCs/>
                                      <w:sz w:val="18"/>
                                      <w:szCs w:val="16"/>
                                    </w:rPr>
                                  </w:pPr>
                                  <w:r w:rsidRPr="00A02B73">
                                    <w:rPr>
                                      <w:i/>
                                      <w:iCs/>
                                      <w:sz w:val="18"/>
                                      <w:szCs w:val="16"/>
                                    </w:rPr>
                                    <w:t>Isolation &amp; Negative Peer Interaction</w:t>
                                  </w:r>
                                </w:p>
                              </w:tc>
                            </w:tr>
                            <w:tr w:rsidR="0084252C" w:rsidRPr="00E265FB" w14:paraId="70C4F106" w14:textId="77777777" w:rsidTr="00A02B73">
                              <w:tc>
                                <w:tcPr>
                                  <w:tcW w:w="1980" w:type="dxa"/>
                                  <w:tcBorders>
                                    <w:top w:val="single" w:sz="4" w:space="0" w:color="auto"/>
                                    <w:left w:val="nil"/>
                                    <w:bottom w:val="single" w:sz="4" w:space="0" w:color="auto"/>
                                    <w:right w:val="nil"/>
                                  </w:tcBorders>
                                </w:tcPr>
                                <w:p w14:paraId="168A15DC" w14:textId="77777777" w:rsidR="0084252C" w:rsidRPr="00A02B73" w:rsidRDefault="0084252C">
                                  <w:pPr>
                                    <w:rPr>
                                      <w:i/>
                                      <w:iCs/>
                                      <w:sz w:val="18"/>
                                      <w:szCs w:val="16"/>
                                    </w:rPr>
                                  </w:pPr>
                                </w:p>
                              </w:tc>
                              <w:tc>
                                <w:tcPr>
                                  <w:tcW w:w="2970" w:type="dxa"/>
                                  <w:tcBorders>
                                    <w:top w:val="single" w:sz="4" w:space="0" w:color="auto"/>
                                    <w:left w:val="nil"/>
                                    <w:bottom w:val="single" w:sz="4" w:space="0" w:color="auto"/>
                                    <w:right w:val="nil"/>
                                  </w:tcBorders>
                                </w:tcPr>
                                <w:p w14:paraId="4A754488" w14:textId="77777777" w:rsidR="0084252C" w:rsidRPr="00A02B73" w:rsidRDefault="0084252C" w:rsidP="00F71715">
                                  <w:pPr>
                                    <w:rPr>
                                      <w:sz w:val="18"/>
                                      <w:szCs w:val="16"/>
                                    </w:rPr>
                                  </w:pPr>
                                  <w:r w:rsidRPr="00A02B73">
                                    <w:rPr>
                                      <w:sz w:val="18"/>
                                      <w:szCs w:val="16"/>
                                    </w:rPr>
                                    <w:t xml:space="preserve">Vulnerability </w:t>
                                  </w:r>
                                </w:p>
                                <w:p w14:paraId="0FD2E44F" w14:textId="77777777" w:rsidR="0084252C" w:rsidRPr="00A02B73" w:rsidRDefault="0084252C" w:rsidP="00F71715">
                                  <w:pPr>
                                    <w:rPr>
                                      <w:sz w:val="18"/>
                                      <w:szCs w:val="16"/>
                                    </w:rPr>
                                  </w:pPr>
                                  <w:r w:rsidRPr="00A02B73">
                                    <w:rPr>
                                      <w:sz w:val="18"/>
                                      <w:szCs w:val="16"/>
                                    </w:rPr>
                                    <w:t>Sharing emotions</w:t>
                                  </w:r>
                                </w:p>
                                <w:p w14:paraId="288D6871" w14:textId="77777777" w:rsidR="0084252C" w:rsidRPr="00A02B73" w:rsidRDefault="0084252C" w:rsidP="00F71715">
                                  <w:pPr>
                                    <w:rPr>
                                      <w:sz w:val="18"/>
                                      <w:szCs w:val="16"/>
                                    </w:rPr>
                                  </w:pPr>
                                  <w:r w:rsidRPr="00A02B73">
                                    <w:rPr>
                                      <w:sz w:val="18"/>
                                      <w:szCs w:val="16"/>
                                    </w:rPr>
                                    <w:t>Positive peer group</w:t>
                                  </w:r>
                                </w:p>
                                <w:p w14:paraId="53EC844D" w14:textId="77777777" w:rsidR="0084252C" w:rsidRPr="00A02B73" w:rsidRDefault="0084252C" w:rsidP="00F71715">
                                  <w:pPr>
                                    <w:rPr>
                                      <w:sz w:val="18"/>
                                      <w:szCs w:val="16"/>
                                    </w:rPr>
                                  </w:pPr>
                                  <w:r w:rsidRPr="00A02B73">
                                    <w:rPr>
                                      <w:sz w:val="18"/>
                                      <w:szCs w:val="16"/>
                                    </w:rPr>
                                    <w:t>Adult confidants</w:t>
                                  </w:r>
                                </w:p>
                                <w:p w14:paraId="339C623A" w14:textId="77777777" w:rsidR="0084252C" w:rsidRPr="00A02B73" w:rsidRDefault="0084252C" w:rsidP="00F71715">
                                  <w:pPr>
                                    <w:rPr>
                                      <w:sz w:val="18"/>
                                      <w:szCs w:val="16"/>
                                    </w:rPr>
                                  </w:pPr>
                                  <w:r w:rsidRPr="00A02B73">
                                    <w:rPr>
                                      <w:sz w:val="18"/>
                                      <w:szCs w:val="16"/>
                                    </w:rPr>
                                    <w:t>Empathy &amp; altruism</w:t>
                                  </w:r>
                                </w:p>
                              </w:tc>
                              <w:tc>
                                <w:tcPr>
                                  <w:tcW w:w="3240" w:type="dxa"/>
                                  <w:tcBorders>
                                    <w:top w:val="single" w:sz="4" w:space="0" w:color="auto"/>
                                    <w:left w:val="nil"/>
                                    <w:bottom w:val="single" w:sz="4" w:space="0" w:color="auto"/>
                                    <w:right w:val="nil"/>
                                  </w:tcBorders>
                                </w:tcPr>
                                <w:p w14:paraId="11712643" w14:textId="77777777" w:rsidR="0084252C" w:rsidRPr="00A02B73" w:rsidRDefault="0084252C" w:rsidP="00F71715">
                                  <w:pPr>
                                    <w:rPr>
                                      <w:sz w:val="18"/>
                                      <w:szCs w:val="16"/>
                                    </w:rPr>
                                  </w:pPr>
                                  <w:r w:rsidRPr="00A02B73">
                                    <w:rPr>
                                      <w:sz w:val="18"/>
                                      <w:szCs w:val="16"/>
                                    </w:rPr>
                                    <w:t>Emotional isolation</w:t>
                                  </w:r>
                                </w:p>
                                <w:p w14:paraId="3CD58DFD" w14:textId="77777777" w:rsidR="0084252C" w:rsidRPr="00A02B73" w:rsidRDefault="0084252C" w:rsidP="00F71715">
                                  <w:pPr>
                                    <w:rPr>
                                      <w:sz w:val="18"/>
                                      <w:szCs w:val="16"/>
                                    </w:rPr>
                                  </w:pPr>
                                  <w:r w:rsidRPr="00A02B73">
                                    <w:rPr>
                                      <w:sz w:val="18"/>
                                      <w:szCs w:val="16"/>
                                    </w:rPr>
                                    <w:t>Hyper vigilance</w:t>
                                  </w:r>
                                </w:p>
                                <w:p w14:paraId="67B4FED8" w14:textId="77777777" w:rsidR="0084252C" w:rsidRPr="00A02B73" w:rsidRDefault="0084252C" w:rsidP="00F71715">
                                  <w:pPr>
                                    <w:rPr>
                                      <w:sz w:val="18"/>
                                      <w:szCs w:val="16"/>
                                    </w:rPr>
                                  </w:pPr>
                                  <w:r w:rsidRPr="00A02B73">
                                    <w:rPr>
                                      <w:sz w:val="18"/>
                                      <w:szCs w:val="16"/>
                                    </w:rPr>
                                    <w:t>Deviant peer group</w:t>
                                  </w:r>
                                </w:p>
                                <w:p w14:paraId="25A19FCD" w14:textId="77777777" w:rsidR="0084252C" w:rsidRPr="00A02B73" w:rsidRDefault="0084252C" w:rsidP="00F71715">
                                  <w:pPr>
                                    <w:rPr>
                                      <w:sz w:val="18"/>
                                      <w:szCs w:val="16"/>
                                      <w:lang w:val="de-DE"/>
                                    </w:rPr>
                                  </w:pPr>
                                  <w:r w:rsidRPr="00A02B73">
                                    <w:rPr>
                                      <w:sz w:val="18"/>
                                      <w:szCs w:val="16"/>
                                    </w:rPr>
                                    <w:t>Delinquency &amp; crime</w:t>
                                  </w:r>
                                </w:p>
                                <w:p w14:paraId="447C5490" w14:textId="77777777" w:rsidR="0084252C" w:rsidRPr="00A02B73" w:rsidRDefault="0084252C">
                                  <w:pPr>
                                    <w:rPr>
                                      <w:sz w:val="18"/>
                                      <w:szCs w:val="16"/>
                                      <w:lang w:val="de-DE"/>
                                    </w:rPr>
                                  </w:pPr>
                                </w:p>
                              </w:tc>
                            </w:tr>
                            <w:tr w:rsidR="0084252C" w:rsidRPr="00E265FB" w14:paraId="15CD34AB" w14:textId="77777777" w:rsidTr="00A02B73">
                              <w:tc>
                                <w:tcPr>
                                  <w:tcW w:w="1980" w:type="dxa"/>
                                  <w:tcBorders>
                                    <w:top w:val="single" w:sz="4" w:space="0" w:color="auto"/>
                                    <w:left w:val="nil"/>
                                    <w:bottom w:val="single" w:sz="4" w:space="0" w:color="auto"/>
                                    <w:right w:val="nil"/>
                                  </w:tcBorders>
                                </w:tcPr>
                                <w:p w14:paraId="4E5F75C7" w14:textId="77777777" w:rsidR="0084252C" w:rsidRPr="00A02B73" w:rsidRDefault="0084252C">
                                  <w:pPr>
                                    <w:rPr>
                                      <w:i/>
                                      <w:iCs/>
                                      <w:sz w:val="18"/>
                                      <w:szCs w:val="16"/>
                                    </w:rPr>
                                  </w:pPr>
                                  <w:r w:rsidRPr="00A02B73">
                                    <w:rPr>
                                      <w:i/>
                                      <w:iCs/>
                                      <w:sz w:val="18"/>
                                      <w:szCs w:val="16"/>
                                    </w:rPr>
                                    <w:t>Stage V:</w:t>
                                  </w:r>
                                </w:p>
                                <w:p w14:paraId="3F364436" w14:textId="77777777" w:rsidR="0084252C" w:rsidRPr="00A02B73" w:rsidRDefault="0084252C">
                                  <w:pPr>
                                    <w:rPr>
                                      <w:i/>
                                      <w:iCs/>
                                      <w:sz w:val="18"/>
                                      <w:szCs w:val="16"/>
                                    </w:rPr>
                                  </w:pPr>
                                  <w:r w:rsidRPr="00A02B73">
                                    <w:rPr>
                                      <w:i/>
                                      <w:iCs/>
                                      <w:sz w:val="18"/>
                                      <w:szCs w:val="16"/>
                                    </w:rPr>
                                    <w:t>Future Orientation</w:t>
                                  </w:r>
                                </w:p>
                              </w:tc>
                              <w:tc>
                                <w:tcPr>
                                  <w:tcW w:w="2970" w:type="dxa"/>
                                  <w:tcBorders>
                                    <w:top w:val="single" w:sz="4" w:space="0" w:color="auto"/>
                                    <w:left w:val="nil"/>
                                    <w:bottom w:val="single" w:sz="4" w:space="0" w:color="auto"/>
                                    <w:right w:val="nil"/>
                                  </w:tcBorders>
                                </w:tcPr>
                                <w:p w14:paraId="1FE39B31" w14:textId="77777777" w:rsidR="0084252C" w:rsidRPr="00A02B73" w:rsidRDefault="0084252C">
                                  <w:pPr>
                                    <w:rPr>
                                      <w:i/>
                                      <w:iCs/>
                                      <w:sz w:val="18"/>
                                      <w:szCs w:val="16"/>
                                    </w:rPr>
                                  </w:pPr>
                                </w:p>
                                <w:p w14:paraId="79C57CE4" w14:textId="77777777" w:rsidR="0084252C" w:rsidRPr="00A02B73" w:rsidRDefault="0084252C">
                                  <w:pPr>
                                    <w:rPr>
                                      <w:i/>
                                      <w:iCs/>
                                      <w:sz w:val="18"/>
                                      <w:szCs w:val="16"/>
                                    </w:rPr>
                                  </w:pPr>
                                  <w:r w:rsidRPr="00A02B73">
                                    <w:rPr>
                                      <w:i/>
                                      <w:iCs/>
                                      <w:sz w:val="18"/>
                                      <w:szCs w:val="16"/>
                                    </w:rPr>
                                    <w:t>Perseverance &amp; Community</w:t>
                                  </w:r>
                                </w:p>
                              </w:tc>
                              <w:tc>
                                <w:tcPr>
                                  <w:tcW w:w="3240" w:type="dxa"/>
                                  <w:tcBorders>
                                    <w:top w:val="single" w:sz="4" w:space="0" w:color="auto"/>
                                    <w:left w:val="nil"/>
                                    <w:bottom w:val="single" w:sz="4" w:space="0" w:color="auto"/>
                                    <w:right w:val="nil"/>
                                  </w:tcBorders>
                                </w:tcPr>
                                <w:p w14:paraId="28552BB8" w14:textId="77777777" w:rsidR="0084252C" w:rsidRPr="00A02B73" w:rsidRDefault="0084252C">
                                  <w:pPr>
                                    <w:rPr>
                                      <w:i/>
                                      <w:iCs/>
                                      <w:sz w:val="18"/>
                                      <w:szCs w:val="16"/>
                                    </w:rPr>
                                  </w:pPr>
                                </w:p>
                                <w:p w14:paraId="667AF31B" w14:textId="77777777" w:rsidR="0084252C" w:rsidRPr="00A02B73" w:rsidRDefault="0084252C">
                                  <w:pPr>
                                    <w:rPr>
                                      <w:i/>
                                      <w:iCs/>
                                      <w:sz w:val="18"/>
                                      <w:szCs w:val="16"/>
                                    </w:rPr>
                                  </w:pPr>
                                  <w:r w:rsidRPr="00A02B73">
                                    <w:rPr>
                                      <w:i/>
                                      <w:iCs/>
                                      <w:sz w:val="18"/>
                                      <w:szCs w:val="16"/>
                                    </w:rPr>
                                    <w:t>Resignation &amp; Violence Perpetuation</w:t>
                                  </w:r>
                                </w:p>
                              </w:tc>
                            </w:tr>
                            <w:tr w:rsidR="0084252C" w14:paraId="10FC467F" w14:textId="77777777" w:rsidTr="00A02B73">
                              <w:trPr>
                                <w:trHeight w:val="279"/>
                              </w:trPr>
                              <w:tc>
                                <w:tcPr>
                                  <w:tcW w:w="1980" w:type="dxa"/>
                                  <w:tcBorders>
                                    <w:top w:val="nil"/>
                                    <w:left w:val="nil"/>
                                    <w:bottom w:val="double" w:sz="6" w:space="0" w:color="auto"/>
                                    <w:right w:val="nil"/>
                                  </w:tcBorders>
                                </w:tcPr>
                                <w:p w14:paraId="7C6A4023" w14:textId="77777777" w:rsidR="0084252C" w:rsidRPr="00A02B73" w:rsidRDefault="0084252C">
                                  <w:pPr>
                                    <w:rPr>
                                      <w:i/>
                                      <w:iCs/>
                                      <w:sz w:val="18"/>
                                      <w:szCs w:val="16"/>
                                    </w:rPr>
                                  </w:pPr>
                                </w:p>
                              </w:tc>
                              <w:tc>
                                <w:tcPr>
                                  <w:tcW w:w="2970" w:type="dxa"/>
                                  <w:tcBorders>
                                    <w:top w:val="nil"/>
                                    <w:left w:val="nil"/>
                                    <w:bottom w:val="double" w:sz="6" w:space="0" w:color="auto"/>
                                    <w:right w:val="nil"/>
                                  </w:tcBorders>
                                </w:tcPr>
                                <w:p w14:paraId="132B6B84" w14:textId="77777777" w:rsidR="0084252C" w:rsidRPr="00A02B73" w:rsidRDefault="0084252C" w:rsidP="00F71715">
                                  <w:pPr>
                                    <w:rPr>
                                      <w:sz w:val="18"/>
                                      <w:szCs w:val="16"/>
                                    </w:rPr>
                                  </w:pPr>
                                  <w:r w:rsidRPr="00A02B73">
                                    <w:rPr>
                                      <w:sz w:val="18"/>
                                      <w:szCs w:val="16"/>
                                    </w:rPr>
                                    <w:t>Optimistic future</w:t>
                                  </w:r>
                                </w:p>
                                <w:p w14:paraId="03C8508B" w14:textId="77777777" w:rsidR="0084252C" w:rsidRPr="00A02B73" w:rsidRDefault="0084252C" w:rsidP="00F71715">
                                  <w:pPr>
                                    <w:rPr>
                                      <w:sz w:val="18"/>
                                      <w:szCs w:val="16"/>
                                    </w:rPr>
                                  </w:pPr>
                                  <w:r w:rsidRPr="00A02B73">
                                    <w:rPr>
                                      <w:sz w:val="18"/>
                                      <w:szCs w:val="16"/>
                                    </w:rPr>
                                    <w:t>Emphasis on success</w:t>
                                  </w:r>
                                </w:p>
                                <w:p w14:paraId="36C690B4" w14:textId="77777777" w:rsidR="0084252C" w:rsidRPr="00A02B73" w:rsidRDefault="0084252C" w:rsidP="00F71715">
                                  <w:pPr>
                                    <w:rPr>
                                      <w:sz w:val="18"/>
                                      <w:szCs w:val="16"/>
                                    </w:rPr>
                                  </w:pPr>
                                  <w:r w:rsidRPr="00A02B73">
                                    <w:rPr>
                                      <w:sz w:val="18"/>
                                      <w:szCs w:val="16"/>
                                    </w:rPr>
                                    <w:t>Community involvement</w:t>
                                  </w:r>
                                </w:p>
                                <w:p w14:paraId="7AAA29AC" w14:textId="77777777" w:rsidR="0084252C" w:rsidRPr="00A02B73" w:rsidRDefault="0084252C" w:rsidP="00F71715">
                                  <w:pPr>
                                    <w:rPr>
                                      <w:sz w:val="18"/>
                                      <w:szCs w:val="16"/>
                                    </w:rPr>
                                  </w:pPr>
                                  <w:r w:rsidRPr="00A02B73">
                                    <w:rPr>
                                      <w:sz w:val="18"/>
                                      <w:szCs w:val="16"/>
                                    </w:rPr>
                                    <w:t>Hope</w:t>
                                  </w:r>
                                </w:p>
                              </w:tc>
                              <w:tc>
                                <w:tcPr>
                                  <w:tcW w:w="3240" w:type="dxa"/>
                                  <w:tcBorders>
                                    <w:top w:val="nil"/>
                                    <w:left w:val="nil"/>
                                    <w:bottom w:val="double" w:sz="6" w:space="0" w:color="auto"/>
                                    <w:right w:val="nil"/>
                                  </w:tcBorders>
                                </w:tcPr>
                                <w:p w14:paraId="6D0D94FB" w14:textId="77777777" w:rsidR="0084252C" w:rsidRPr="00A02B73" w:rsidRDefault="0084252C" w:rsidP="00F71715">
                                  <w:pPr>
                                    <w:rPr>
                                      <w:sz w:val="18"/>
                                      <w:szCs w:val="16"/>
                                    </w:rPr>
                                  </w:pPr>
                                  <w:r w:rsidRPr="00A02B73">
                                    <w:rPr>
                                      <w:sz w:val="18"/>
                                      <w:szCs w:val="16"/>
                                    </w:rPr>
                                    <w:t>Violence perpetration</w:t>
                                  </w:r>
                                </w:p>
                                <w:p w14:paraId="3D1957CC" w14:textId="77777777" w:rsidR="0084252C" w:rsidRPr="00A02B73" w:rsidRDefault="0084252C" w:rsidP="00F71715">
                                  <w:pPr>
                                    <w:rPr>
                                      <w:sz w:val="18"/>
                                      <w:szCs w:val="16"/>
                                    </w:rPr>
                                  </w:pPr>
                                  <w:r w:rsidRPr="00A02B73">
                                    <w:rPr>
                                      <w:sz w:val="18"/>
                                      <w:szCs w:val="16"/>
                                    </w:rPr>
                                    <w:t>Academic/Job failure</w:t>
                                  </w:r>
                                </w:p>
                                <w:p w14:paraId="1049F545" w14:textId="77777777" w:rsidR="0084252C" w:rsidRPr="00A02B73" w:rsidRDefault="0084252C" w:rsidP="00F71715">
                                  <w:pPr>
                                    <w:rPr>
                                      <w:sz w:val="18"/>
                                      <w:szCs w:val="16"/>
                                    </w:rPr>
                                  </w:pPr>
                                  <w:r w:rsidRPr="00A02B73">
                                    <w:rPr>
                                      <w:sz w:val="18"/>
                                      <w:szCs w:val="16"/>
                                    </w:rPr>
                                    <w:t>Few opportunities</w:t>
                                  </w:r>
                                </w:p>
                                <w:p w14:paraId="00530879" w14:textId="77777777" w:rsidR="0084252C" w:rsidRPr="00A02B73" w:rsidRDefault="0084252C" w:rsidP="00F71715">
                                  <w:pPr>
                                    <w:rPr>
                                      <w:sz w:val="18"/>
                                      <w:szCs w:val="16"/>
                                    </w:rPr>
                                  </w:pPr>
                                  <w:r w:rsidRPr="00A02B73">
                                    <w:rPr>
                                      <w:sz w:val="18"/>
                                      <w:szCs w:val="16"/>
                                    </w:rPr>
                                    <w:t>Negative view of future</w:t>
                                  </w:r>
                                </w:p>
                                <w:p w14:paraId="0C78CA79" w14:textId="77777777" w:rsidR="0084252C" w:rsidRPr="00A02B73" w:rsidRDefault="0084252C" w:rsidP="00F71715">
                                  <w:pPr>
                                    <w:rPr>
                                      <w:sz w:val="18"/>
                                      <w:szCs w:val="16"/>
                                    </w:rPr>
                                  </w:pPr>
                                  <w:r w:rsidRPr="00A02B73">
                                    <w:rPr>
                                      <w:sz w:val="18"/>
                                      <w:szCs w:val="16"/>
                                    </w:rPr>
                                    <w:t>Despair</w:t>
                                  </w:r>
                                </w:p>
                              </w:tc>
                            </w:tr>
                          </w:tbl>
                          <w:p w14:paraId="39294361" w14:textId="77777777" w:rsidR="0084252C" w:rsidRDefault="0084252C" w:rsidP="007008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7FB51" id="_x0000_t202" coordsize="21600,21600" o:spt="202" path="m,l,21600r21600,l21600,xe">
                <v:stroke joinstyle="miter"/>
                <v:path gradientshapeok="t" o:connecttype="rect"/>
              </v:shapetype>
              <v:shape id="Text Box 2" o:spid="_x0000_s1026" type="#_x0000_t202" style="position:absolute;margin-left:9pt;margin-top:9pt;width:423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" stroked="f">
                <v:textbox inset="0,0,0,0">
                  <w:txbxContent>
                    <w:p w14:paraId="3E1E566E" w14:textId="77777777" w:rsidR="0084252C" w:rsidRPr="0070088C" w:rsidRDefault="0084252C" w:rsidP="0070088C">
                      <w:pPr>
                        <w:pStyle w:val="TableTitle"/>
                        <w:rPr>
                          <w:rFonts w:ascii="Arial" w:hAnsi="Arial" w:cs="Arial"/>
                          <w:sz w:val="20"/>
                        </w:rPr>
                      </w:pPr>
                      <w:r w:rsidRPr="0070088C">
                        <w:rPr>
                          <w:rFonts w:ascii="Arial" w:hAnsi="Arial" w:cs="Arial"/>
                          <w:sz w:val="20"/>
                        </w:rPr>
                        <w:t>TABLE I</w:t>
                      </w:r>
                    </w:p>
                    <w:p w14:paraId="2CE69167" w14:textId="6B9429FA" w:rsidR="0084252C" w:rsidRPr="0070088C" w:rsidRDefault="0084252C" w:rsidP="0070088C">
                      <w:pPr>
                        <w:pStyle w:val="TableTitle"/>
                        <w:rPr>
                          <w:rFonts w:ascii="Arial" w:hAnsi="Arial" w:cs="Arial"/>
                        </w:rPr>
                      </w:pPr>
                      <w:r w:rsidRPr="0070088C">
                        <w:rPr>
                          <w:rFonts w:ascii="Arial" w:hAnsi="Arial" w:cs="Arial"/>
                          <w:sz w:val="20"/>
                        </w:rPr>
                        <w:t>Pathwa</w:t>
                      </w:r>
                      <w:r>
                        <w:rPr>
                          <w:rFonts w:ascii="Arial" w:hAnsi="Arial" w:cs="Arial"/>
                          <w:sz w:val="20"/>
                        </w:rPr>
                        <w:t>ys of R</w:t>
                      </w:r>
                      <w:r w:rsidRPr="0070088C">
                        <w:rPr>
                          <w:rFonts w:ascii="Arial" w:hAnsi="Arial" w:cs="Arial"/>
                          <w:sz w:val="20"/>
                        </w:rPr>
                        <w:t>esiliency &amp; Risk in Response to Community Violence</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1980"/>
                        <w:gridCol w:w="2970"/>
                        <w:gridCol w:w="3240"/>
                      </w:tblGrid>
                      <w:tr w:rsidR="0084252C" w:rsidRPr="0070088C" w14:paraId="29570253" w14:textId="77777777" w:rsidTr="00A02B73">
                        <w:trPr>
                          <w:trHeight w:val="440"/>
                        </w:trPr>
                        <w:tc>
                          <w:tcPr>
                            <w:tcW w:w="1980" w:type="dxa"/>
                            <w:tcBorders>
                              <w:top w:val="double" w:sz="6" w:space="0" w:color="auto"/>
                              <w:left w:val="nil"/>
                              <w:bottom w:val="single" w:sz="6" w:space="0" w:color="auto"/>
                              <w:right w:val="nil"/>
                            </w:tcBorders>
                            <w:vAlign w:val="center"/>
                          </w:tcPr>
                          <w:p w14:paraId="2464F549" w14:textId="77777777" w:rsidR="0084252C" w:rsidRPr="0070088C" w:rsidRDefault="0084252C" w:rsidP="00F71715">
                            <w:pPr>
                              <w:pStyle w:val="TableTitle"/>
                              <w:jc w:val="left"/>
                              <w:rPr>
                                <w:rFonts w:ascii="Arial" w:hAnsi="Arial" w:cs="Arial"/>
                                <w:sz w:val="18"/>
                              </w:rPr>
                            </w:pPr>
                            <w:r w:rsidRPr="0070088C">
                              <w:rPr>
                                <w:rFonts w:ascii="Arial" w:hAnsi="Arial" w:cs="Arial"/>
                                <w:sz w:val="18"/>
                              </w:rPr>
                              <w:t>Development &amp; Community Violence</w:t>
                            </w:r>
                          </w:p>
                        </w:tc>
                        <w:tc>
                          <w:tcPr>
                            <w:tcW w:w="2970" w:type="dxa"/>
                            <w:tcBorders>
                              <w:top w:val="double" w:sz="6" w:space="0" w:color="auto"/>
                              <w:left w:val="nil"/>
                              <w:bottom w:val="single" w:sz="6" w:space="0" w:color="auto"/>
                              <w:right w:val="nil"/>
                            </w:tcBorders>
                            <w:vAlign w:val="center"/>
                          </w:tcPr>
                          <w:p w14:paraId="5022B554" w14:textId="77777777" w:rsidR="0084252C" w:rsidRPr="0070088C" w:rsidRDefault="0084252C" w:rsidP="00F71715">
                            <w:pPr>
                              <w:pStyle w:val="TableTitle"/>
                              <w:jc w:val="left"/>
                              <w:rPr>
                                <w:rFonts w:ascii="Arial" w:hAnsi="Arial" w:cs="Arial"/>
                                <w:sz w:val="18"/>
                              </w:rPr>
                            </w:pPr>
                            <w:r w:rsidRPr="0070088C">
                              <w:rPr>
                                <w:rFonts w:ascii="Arial" w:hAnsi="Arial" w:cs="Arial"/>
                                <w:sz w:val="18"/>
                              </w:rPr>
                              <w:t xml:space="preserve">Path of Resiliency: </w:t>
                            </w:r>
                          </w:p>
                          <w:p w14:paraId="5E93401D" w14:textId="77777777" w:rsidR="0084252C" w:rsidRPr="0070088C" w:rsidRDefault="0084252C" w:rsidP="00F71715">
                            <w:pPr>
                              <w:pStyle w:val="TableTitle"/>
                              <w:jc w:val="left"/>
                              <w:rPr>
                                <w:rFonts w:ascii="Arial" w:hAnsi="Arial" w:cs="Arial"/>
                                <w:smallCaps w:val="0"/>
                                <w:sz w:val="18"/>
                              </w:rPr>
                            </w:pPr>
                            <w:r w:rsidRPr="0070088C">
                              <w:rPr>
                                <w:rFonts w:ascii="Arial" w:hAnsi="Arial" w:cs="Arial"/>
                                <w:sz w:val="18"/>
                              </w:rPr>
                              <w:t>Recovery &amp; Positive Growth</w:t>
                            </w:r>
                            <w:r w:rsidRPr="0070088C">
                              <w:rPr>
                                <w:rFonts w:ascii="Arial" w:hAnsi="Arial" w:cs="Arial"/>
                                <w:smallCaps w:val="0"/>
                                <w:sz w:val="18"/>
                              </w:rPr>
                              <w:t xml:space="preserve"> </w:t>
                            </w:r>
                          </w:p>
                        </w:tc>
                        <w:tc>
                          <w:tcPr>
                            <w:tcW w:w="3240" w:type="dxa"/>
                            <w:tcBorders>
                              <w:top w:val="double" w:sz="6" w:space="0" w:color="auto"/>
                              <w:left w:val="nil"/>
                              <w:bottom w:val="single" w:sz="6" w:space="0" w:color="auto"/>
                              <w:right w:val="nil"/>
                            </w:tcBorders>
                            <w:vAlign w:val="center"/>
                          </w:tcPr>
                          <w:p w14:paraId="520F8841" w14:textId="77777777" w:rsidR="0084252C" w:rsidRPr="0070088C" w:rsidRDefault="0084252C" w:rsidP="00F71715">
                            <w:pPr>
                              <w:pStyle w:val="TableTitle"/>
                              <w:jc w:val="left"/>
                              <w:rPr>
                                <w:rFonts w:ascii="Arial" w:hAnsi="Arial" w:cs="Arial"/>
                                <w:sz w:val="18"/>
                              </w:rPr>
                            </w:pPr>
                            <w:r w:rsidRPr="0070088C">
                              <w:rPr>
                                <w:rFonts w:ascii="Arial" w:hAnsi="Arial" w:cs="Arial"/>
                                <w:sz w:val="18"/>
                              </w:rPr>
                              <w:t>Path of Risk:</w:t>
                            </w:r>
                          </w:p>
                          <w:p w14:paraId="38EAF8C9" w14:textId="77777777" w:rsidR="0084252C" w:rsidRPr="0070088C" w:rsidRDefault="0084252C" w:rsidP="00F71715">
                            <w:pPr>
                              <w:pStyle w:val="TableTitle"/>
                              <w:jc w:val="left"/>
                              <w:rPr>
                                <w:rFonts w:ascii="Arial" w:hAnsi="Arial" w:cs="Arial"/>
                                <w:sz w:val="18"/>
                              </w:rPr>
                            </w:pPr>
                            <w:r w:rsidRPr="0070088C">
                              <w:rPr>
                                <w:rFonts w:ascii="Arial" w:hAnsi="Arial" w:cs="Arial"/>
                                <w:sz w:val="18"/>
                              </w:rPr>
                              <w:t>Complex Trauma &amp; Violence</w:t>
                            </w:r>
                          </w:p>
                        </w:tc>
                      </w:tr>
                      <w:tr w:rsidR="0084252C" w14:paraId="6467685E" w14:textId="77777777" w:rsidTr="00A02B73">
                        <w:tc>
                          <w:tcPr>
                            <w:tcW w:w="1980" w:type="dxa"/>
                            <w:tcBorders>
                              <w:top w:val="single" w:sz="6" w:space="0" w:color="auto"/>
                              <w:left w:val="nil"/>
                              <w:bottom w:val="single" w:sz="4" w:space="0" w:color="auto"/>
                              <w:right w:val="nil"/>
                            </w:tcBorders>
                          </w:tcPr>
                          <w:p w14:paraId="0A00F2B0" w14:textId="77777777" w:rsidR="0084252C" w:rsidRPr="00A02B73" w:rsidRDefault="0084252C">
                            <w:pPr>
                              <w:rPr>
                                <w:i/>
                                <w:iCs/>
                                <w:sz w:val="18"/>
                                <w:szCs w:val="16"/>
                              </w:rPr>
                            </w:pPr>
                            <w:r w:rsidRPr="00A02B73">
                              <w:rPr>
                                <w:i/>
                                <w:iCs/>
                                <w:sz w:val="18"/>
                                <w:szCs w:val="16"/>
                              </w:rPr>
                              <w:t>Stage I:</w:t>
                            </w:r>
                          </w:p>
                          <w:p w14:paraId="616AF6D1" w14:textId="77777777" w:rsidR="0084252C" w:rsidRPr="00A02B73" w:rsidRDefault="0084252C">
                            <w:pPr>
                              <w:rPr>
                                <w:i/>
                                <w:iCs/>
                                <w:sz w:val="18"/>
                                <w:szCs w:val="16"/>
                              </w:rPr>
                            </w:pPr>
                            <w:r w:rsidRPr="00A02B73">
                              <w:rPr>
                                <w:i/>
                                <w:iCs/>
                                <w:sz w:val="18"/>
                                <w:szCs w:val="16"/>
                              </w:rPr>
                              <w:t>Violence Exposure</w:t>
                            </w:r>
                          </w:p>
                        </w:tc>
                        <w:tc>
                          <w:tcPr>
                            <w:tcW w:w="2970" w:type="dxa"/>
                            <w:tcBorders>
                              <w:top w:val="single" w:sz="6" w:space="0" w:color="auto"/>
                              <w:left w:val="nil"/>
                              <w:bottom w:val="single" w:sz="4" w:space="0" w:color="auto"/>
                              <w:right w:val="nil"/>
                            </w:tcBorders>
                          </w:tcPr>
                          <w:p w14:paraId="5F8BA88F" w14:textId="77777777" w:rsidR="0084252C" w:rsidRPr="00A02B73" w:rsidRDefault="0084252C">
                            <w:pPr>
                              <w:rPr>
                                <w:i/>
                                <w:iCs/>
                                <w:sz w:val="18"/>
                                <w:szCs w:val="16"/>
                              </w:rPr>
                            </w:pPr>
                          </w:p>
                          <w:p w14:paraId="0BCE60BA" w14:textId="77777777" w:rsidR="0084252C" w:rsidRPr="00A02B73" w:rsidRDefault="0084252C">
                            <w:pPr>
                              <w:rPr>
                                <w:i/>
                                <w:iCs/>
                                <w:sz w:val="18"/>
                                <w:szCs w:val="16"/>
                              </w:rPr>
                            </w:pPr>
                            <w:r w:rsidRPr="00A02B73">
                              <w:rPr>
                                <w:i/>
                                <w:iCs/>
                                <w:sz w:val="18"/>
                                <w:szCs w:val="16"/>
                              </w:rPr>
                              <w:t>Protective Factors</w:t>
                            </w:r>
                          </w:p>
                        </w:tc>
                        <w:tc>
                          <w:tcPr>
                            <w:tcW w:w="3240" w:type="dxa"/>
                            <w:tcBorders>
                              <w:top w:val="single" w:sz="6" w:space="0" w:color="auto"/>
                              <w:left w:val="nil"/>
                              <w:bottom w:val="single" w:sz="4" w:space="0" w:color="auto"/>
                              <w:right w:val="nil"/>
                            </w:tcBorders>
                          </w:tcPr>
                          <w:p w14:paraId="07616CD5" w14:textId="77777777" w:rsidR="0084252C" w:rsidRPr="00A02B73" w:rsidRDefault="0084252C">
                            <w:pPr>
                              <w:rPr>
                                <w:i/>
                                <w:iCs/>
                                <w:sz w:val="18"/>
                                <w:szCs w:val="16"/>
                              </w:rPr>
                            </w:pPr>
                          </w:p>
                          <w:p w14:paraId="3F98CFC4" w14:textId="77777777" w:rsidR="0084252C" w:rsidRPr="00A02B73" w:rsidRDefault="0084252C">
                            <w:pPr>
                              <w:rPr>
                                <w:i/>
                                <w:iCs/>
                                <w:sz w:val="18"/>
                                <w:szCs w:val="16"/>
                              </w:rPr>
                            </w:pPr>
                            <w:r w:rsidRPr="00A02B73">
                              <w:rPr>
                                <w:i/>
                                <w:iCs/>
                                <w:sz w:val="18"/>
                                <w:szCs w:val="16"/>
                              </w:rPr>
                              <w:t>Risk Factors</w:t>
                            </w:r>
                          </w:p>
                        </w:tc>
                      </w:tr>
                      <w:tr w:rsidR="0084252C" w14:paraId="62B7CB07" w14:textId="77777777" w:rsidTr="00A02B73">
                        <w:tc>
                          <w:tcPr>
                            <w:tcW w:w="1980" w:type="dxa"/>
                            <w:tcBorders>
                              <w:top w:val="single" w:sz="4" w:space="0" w:color="auto"/>
                              <w:left w:val="nil"/>
                              <w:bottom w:val="single" w:sz="4" w:space="0" w:color="auto"/>
                              <w:right w:val="nil"/>
                            </w:tcBorders>
                          </w:tcPr>
                          <w:p w14:paraId="6E1BDA01" w14:textId="77777777" w:rsidR="0084252C" w:rsidRPr="00A02B73" w:rsidRDefault="0084252C">
                            <w:pPr>
                              <w:rPr>
                                <w:i/>
                                <w:iCs/>
                                <w:sz w:val="18"/>
                                <w:szCs w:val="16"/>
                              </w:rPr>
                            </w:pPr>
                          </w:p>
                        </w:tc>
                        <w:tc>
                          <w:tcPr>
                            <w:tcW w:w="2970" w:type="dxa"/>
                            <w:tcBorders>
                              <w:top w:val="single" w:sz="4" w:space="0" w:color="auto"/>
                              <w:left w:val="nil"/>
                              <w:bottom w:val="single" w:sz="4" w:space="0" w:color="auto"/>
                              <w:right w:val="nil"/>
                            </w:tcBorders>
                          </w:tcPr>
                          <w:p w14:paraId="3D873BDE" w14:textId="77777777" w:rsidR="0084252C" w:rsidRPr="00A02B73" w:rsidRDefault="0084252C" w:rsidP="00F71715">
                            <w:pPr>
                              <w:rPr>
                                <w:sz w:val="18"/>
                                <w:szCs w:val="16"/>
                              </w:rPr>
                            </w:pPr>
                            <w:r w:rsidRPr="00A02B73">
                              <w:rPr>
                                <w:sz w:val="18"/>
                                <w:szCs w:val="16"/>
                              </w:rPr>
                              <w:t>Close support system</w:t>
                            </w:r>
                          </w:p>
                          <w:p w14:paraId="081095E2" w14:textId="77777777" w:rsidR="0084252C" w:rsidRPr="00A02B73" w:rsidRDefault="0084252C" w:rsidP="00F71715">
                            <w:pPr>
                              <w:rPr>
                                <w:sz w:val="18"/>
                                <w:szCs w:val="16"/>
                              </w:rPr>
                            </w:pPr>
                            <w:r w:rsidRPr="00A02B73">
                              <w:rPr>
                                <w:sz w:val="18"/>
                                <w:szCs w:val="16"/>
                              </w:rPr>
                              <w:t>Safer environment</w:t>
                            </w:r>
                          </w:p>
                          <w:p w14:paraId="7F52B798" w14:textId="77777777" w:rsidR="0084252C" w:rsidRPr="00A02B73" w:rsidRDefault="0084252C" w:rsidP="00F71715">
                            <w:pPr>
                              <w:rPr>
                                <w:i/>
                                <w:sz w:val="18"/>
                              </w:rPr>
                            </w:pPr>
                            <w:r w:rsidRPr="00A02B73">
                              <w:rPr>
                                <w:sz w:val="18"/>
                                <w:szCs w:val="16"/>
                              </w:rPr>
                              <w:t>Positive behaviors</w:t>
                            </w:r>
                          </w:p>
                        </w:tc>
                        <w:tc>
                          <w:tcPr>
                            <w:tcW w:w="3240" w:type="dxa"/>
                            <w:tcBorders>
                              <w:top w:val="single" w:sz="4" w:space="0" w:color="auto"/>
                              <w:left w:val="nil"/>
                              <w:bottom w:val="single" w:sz="4" w:space="0" w:color="auto"/>
                              <w:right w:val="nil"/>
                            </w:tcBorders>
                          </w:tcPr>
                          <w:p w14:paraId="235A40C6" w14:textId="77777777" w:rsidR="0084252C" w:rsidRPr="00A02B73" w:rsidRDefault="0084252C" w:rsidP="00F71715">
                            <w:pPr>
                              <w:rPr>
                                <w:sz w:val="18"/>
                                <w:szCs w:val="16"/>
                              </w:rPr>
                            </w:pPr>
                            <w:r w:rsidRPr="00A02B73">
                              <w:rPr>
                                <w:sz w:val="18"/>
                                <w:szCs w:val="16"/>
                              </w:rPr>
                              <w:t>Few intimate resources</w:t>
                            </w:r>
                          </w:p>
                          <w:p w14:paraId="5873BDD3" w14:textId="77777777" w:rsidR="0084252C" w:rsidRPr="00A02B73" w:rsidRDefault="0084252C" w:rsidP="00F71715">
                            <w:pPr>
                              <w:rPr>
                                <w:sz w:val="18"/>
                                <w:szCs w:val="16"/>
                              </w:rPr>
                            </w:pPr>
                            <w:r w:rsidRPr="00A02B73">
                              <w:rPr>
                                <w:sz w:val="18"/>
                                <w:szCs w:val="16"/>
                              </w:rPr>
                              <w:t>Chronic violence</w:t>
                            </w:r>
                          </w:p>
                          <w:p w14:paraId="6B4635F2" w14:textId="77777777" w:rsidR="0084252C" w:rsidRPr="00A02B73" w:rsidRDefault="0084252C" w:rsidP="00F71715">
                            <w:pPr>
                              <w:rPr>
                                <w:sz w:val="18"/>
                                <w:szCs w:val="16"/>
                              </w:rPr>
                            </w:pPr>
                            <w:r w:rsidRPr="00A02B73">
                              <w:rPr>
                                <w:sz w:val="18"/>
                                <w:szCs w:val="16"/>
                              </w:rPr>
                              <w:t>Previous trauma</w:t>
                            </w:r>
                          </w:p>
                          <w:p w14:paraId="7F906D23" w14:textId="77777777" w:rsidR="0084252C" w:rsidRPr="00A02B73" w:rsidRDefault="0084252C" w:rsidP="00F71715">
                            <w:pPr>
                              <w:rPr>
                                <w:sz w:val="18"/>
                                <w:szCs w:val="16"/>
                                <w:vertAlign w:val="superscript"/>
                              </w:rPr>
                            </w:pPr>
                            <w:r w:rsidRPr="00A02B73">
                              <w:rPr>
                                <w:sz w:val="18"/>
                                <w:szCs w:val="16"/>
                              </w:rPr>
                              <w:t xml:space="preserve">Risk-taking behavior </w:t>
                            </w:r>
                          </w:p>
                        </w:tc>
                      </w:tr>
                      <w:tr w:rsidR="0084252C" w14:paraId="53B2FA10" w14:textId="77777777" w:rsidTr="00A02B73">
                        <w:tc>
                          <w:tcPr>
                            <w:tcW w:w="1980" w:type="dxa"/>
                            <w:tcBorders>
                              <w:top w:val="single" w:sz="4" w:space="0" w:color="auto"/>
                              <w:left w:val="nil"/>
                              <w:bottom w:val="single" w:sz="4" w:space="0" w:color="auto"/>
                              <w:right w:val="nil"/>
                            </w:tcBorders>
                          </w:tcPr>
                          <w:p w14:paraId="3FF4BA5D" w14:textId="77777777" w:rsidR="0084252C" w:rsidRPr="00A02B73" w:rsidRDefault="0084252C">
                            <w:pPr>
                              <w:rPr>
                                <w:i/>
                                <w:iCs/>
                                <w:sz w:val="18"/>
                                <w:szCs w:val="16"/>
                              </w:rPr>
                            </w:pPr>
                            <w:r w:rsidRPr="00A02B73">
                              <w:rPr>
                                <w:i/>
                                <w:iCs/>
                                <w:sz w:val="18"/>
                                <w:szCs w:val="16"/>
                              </w:rPr>
                              <w:t>Stage II:</w:t>
                            </w:r>
                          </w:p>
                          <w:p w14:paraId="2A9E4E10" w14:textId="77777777" w:rsidR="0084252C" w:rsidRPr="00A02B73" w:rsidRDefault="0084252C">
                            <w:pPr>
                              <w:rPr>
                                <w:i/>
                                <w:iCs/>
                                <w:sz w:val="18"/>
                                <w:szCs w:val="16"/>
                              </w:rPr>
                            </w:pPr>
                            <w:r w:rsidRPr="00A02B73">
                              <w:rPr>
                                <w:i/>
                                <w:iCs/>
                                <w:sz w:val="18"/>
                                <w:szCs w:val="16"/>
                              </w:rPr>
                              <w:t>Critical Incident</w:t>
                            </w:r>
                          </w:p>
                        </w:tc>
                        <w:tc>
                          <w:tcPr>
                            <w:tcW w:w="2970" w:type="dxa"/>
                            <w:tcBorders>
                              <w:top w:val="single" w:sz="4" w:space="0" w:color="auto"/>
                              <w:left w:val="nil"/>
                              <w:bottom w:val="single" w:sz="4" w:space="0" w:color="auto"/>
                              <w:right w:val="nil"/>
                            </w:tcBorders>
                          </w:tcPr>
                          <w:p w14:paraId="16259235" w14:textId="77777777" w:rsidR="0084252C" w:rsidRPr="00A02B73" w:rsidRDefault="0084252C">
                            <w:pPr>
                              <w:rPr>
                                <w:i/>
                                <w:iCs/>
                                <w:sz w:val="18"/>
                                <w:szCs w:val="16"/>
                              </w:rPr>
                            </w:pPr>
                          </w:p>
                          <w:p w14:paraId="3A66BF4A" w14:textId="77777777" w:rsidR="0084252C" w:rsidRPr="00A02B73" w:rsidRDefault="0084252C">
                            <w:pPr>
                              <w:rPr>
                                <w:i/>
                                <w:iCs/>
                                <w:sz w:val="18"/>
                                <w:szCs w:val="16"/>
                              </w:rPr>
                            </w:pPr>
                            <w:r w:rsidRPr="00A02B73">
                              <w:rPr>
                                <w:i/>
                                <w:iCs/>
                                <w:sz w:val="18"/>
                                <w:szCs w:val="16"/>
                              </w:rPr>
                              <w:t>Distress &amp; Loss</w:t>
                            </w:r>
                          </w:p>
                        </w:tc>
                        <w:tc>
                          <w:tcPr>
                            <w:tcW w:w="3240" w:type="dxa"/>
                            <w:tcBorders>
                              <w:top w:val="single" w:sz="4" w:space="0" w:color="auto"/>
                              <w:left w:val="nil"/>
                              <w:bottom w:val="single" w:sz="4" w:space="0" w:color="auto"/>
                              <w:right w:val="nil"/>
                            </w:tcBorders>
                          </w:tcPr>
                          <w:p w14:paraId="12C55107" w14:textId="77777777" w:rsidR="0084252C" w:rsidRPr="00A02B73" w:rsidRDefault="0084252C">
                            <w:pPr>
                              <w:rPr>
                                <w:i/>
                                <w:iCs/>
                                <w:sz w:val="18"/>
                                <w:szCs w:val="16"/>
                              </w:rPr>
                            </w:pPr>
                          </w:p>
                          <w:p w14:paraId="36C23689" w14:textId="77777777" w:rsidR="0084252C" w:rsidRPr="00A02B73" w:rsidRDefault="0084252C">
                            <w:pPr>
                              <w:rPr>
                                <w:i/>
                                <w:iCs/>
                                <w:sz w:val="18"/>
                                <w:szCs w:val="16"/>
                              </w:rPr>
                            </w:pPr>
                            <w:r w:rsidRPr="00A02B73">
                              <w:rPr>
                                <w:i/>
                                <w:iCs/>
                                <w:sz w:val="18"/>
                                <w:szCs w:val="16"/>
                              </w:rPr>
                              <w:t>Numbing &amp; Anger</w:t>
                            </w:r>
                          </w:p>
                        </w:tc>
                      </w:tr>
                      <w:tr w:rsidR="0084252C" w:rsidRPr="00E265FB" w14:paraId="4FAAB87E" w14:textId="77777777" w:rsidTr="00A02B73">
                        <w:tc>
                          <w:tcPr>
                            <w:tcW w:w="1980" w:type="dxa"/>
                            <w:tcBorders>
                              <w:top w:val="single" w:sz="4" w:space="0" w:color="auto"/>
                              <w:left w:val="nil"/>
                              <w:bottom w:val="single" w:sz="4" w:space="0" w:color="auto"/>
                              <w:right w:val="nil"/>
                            </w:tcBorders>
                          </w:tcPr>
                          <w:p w14:paraId="14301EEB" w14:textId="77777777" w:rsidR="0084252C" w:rsidRPr="00A02B73" w:rsidRDefault="0084252C">
                            <w:pPr>
                              <w:rPr>
                                <w:i/>
                                <w:iCs/>
                                <w:sz w:val="18"/>
                                <w:szCs w:val="16"/>
                              </w:rPr>
                            </w:pPr>
                          </w:p>
                        </w:tc>
                        <w:tc>
                          <w:tcPr>
                            <w:tcW w:w="2970" w:type="dxa"/>
                            <w:tcBorders>
                              <w:top w:val="single" w:sz="4" w:space="0" w:color="auto"/>
                              <w:left w:val="nil"/>
                              <w:bottom w:val="single" w:sz="4" w:space="0" w:color="auto"/>
                              <w:right w:val="nil"/>
                            </w:tcBorders>
                          </w:tcPr>
                          <w:p w14:paraId="151ECE74" w14:textId="77777777" w:rsidR="0084252C" w:rsidRPr="00A02B73" w:rsidRDefault="0084252C" w:rsidP="00F71715">
                            <w:pPr>
                              <w:rPr>
                                <w:sz w:val="18"/>
                                <w:szCs w:val="16"/>
                              </w:rPr>
                            </w:pPr>
                            <w:r w:rsidRPr="00A02B73">
                              <w:rPr>
                                <w:sz w:val="18"/>
                                <w:szCs w:val="16"/>
                              </w:rPr>
                              <w:t>Acute PTSD &amp; grief</w:t>
                            </w:r>
                          </w:p>
                          <w:p w14:paraId="59E2EAA4" w14:textId="77777777" w:rsidR="0084252C" w:rsidRPr="00A02B73" w:rsidRDefault="0084252C" w:rsidP="00F71715">
                            <w:pPr>
                              <w:rPr>
                                <w:sz w:val="18"/>
                                <w:szCs w:val="16"/>
                              </w:rPr>
                            </w:pPr>
                            <w:r w:rsidRPr="00A02B73">
                              <w:rPr>
                                <w:sz w:val="18"/>
                                <w:szCs w:val="16"/>
                              </w:rPr>
                              <w:t>Life changing event</w:t>
                            </w:r>
                          </w:p>
                          <w:p w14:paraId="71507FC0" w14:textId="77777777" w:rsidR="0084252C" w:rsidRPr="00A02B73" w:rsidRDefault="0084252C" w:rsidP="00F71715">
                            <w:pPr>
                              <w:rPr>
                                <w:sz w:val="18"/>
                                <w:szCs w:val="16"/>
                              </w:rPr>
                            </w:pPr>
                            <w:r w:rsidRPr="00A02B73">
                              <w:rPr>
                                <w:sz w:val="18"/>
                                <w:szCs w:val="16"/>
                              </w:rPr>
                              <w:t>Immediate safety</w:t>
                            </w:r>
                          </w:p>
                        </w:tc>
                        <w:tc>
                          <w:tcPr>
                            <w:tcW w:w="3240" w:type="dxa"/>
                            <w:tcBorders>
                              <w:top w:val="single" w:sz="4" w:space="0" w:color="auto"/>
                              <w:left w:val="nil"/>
                              <w:bottom w:val="single" w:sz="4" w:space="0" w:color="auto"/>
                              <w:right w:val="nil"/>
                            </w:tcBorders>
                          </w:tcPr>
                          <w:p w14:paraId="3841D15A" w14:textId="77777777" w:rsidR="0084252C" w:rsidRPr="00A02B73" w:rsidRDefault="0084252C" w:rsidP="00F71715">
                            <w:pPr>
                              <w:rPr>
                                <w:sz w:val="18"/>
                                <w:szCs w:val="16"/>
                              </w:rPr>
                            </w:pPr>
                            <w:r w:rsidRPr="00A02B73">
                              <w:rPr>
                                <w:sz w:val="18"/>
                                <w:szCs w:val="16"/>
                              </w:rPr>
                              <w:t>Avoidance of support</w:t>
                            </w:r>
                          </w:p>
                          <w:p w14:paraId="5009330D" w14:textId="77777777" w:rsidR="0084252C" w:rsidRPr="00A02B73" w:rsidRDefault="0084252C" w:rsidP="00F71715">
                            <w:pPr>
                              <w:rPr>
                                <w:sz w:val="18"/>
                                <w:szCs w:val="16"/>
                              </w:rPr>
                            </w:pPr>
                            <w:r w:rsidRPr="00A02B73">
                              <w:rPr>
                                <w:sz w:val="18"/>
                                <w:szCs w:val="16"/>
                              </w:rPr>
                              <w:t>Numbing of affect</w:t>
                            </w:r>
                          </w:p>
                          <w:p w14:paraId="0BF84CE6" w14:textId="77777777" w:rsidR="0084252C" w:rsidRPr="00A02B73" w:rsidRDefault="0084252C" w:rsidP="00F71715">
                            <w:pPr>
                              <w:rPr>
                                <w:sz w:val="18"/>
                                <w:szCs w:val="16"/>
                              </w:rPr>
                            </w:pPr>
                            <w:r w:rsidRPr="00A02B73">
                              <w:rPr>
                                <w:sz w:val="18"/>
                                <w:szCs w:val="16"/>
                              </w:rPr>
                              <w:t xml:space="preserve">Anger </w:t>
                            </w:r>
                          </w:p>
                        </w:tc>
                      </w:tr>
                      <w:tr w:rsidR="0084252C" w14:paraId="007CEE0F" w14:textId="77777777" w:rsidTr="00A02B73">
                        <w:tc>
                          <w:tcPr>
                            <w:tcW w:w="1980" w:type="dxa"/>
                            <w:tcBorders>
                              <w:top w:val="single" w:sz="4" w:space="0" w:color="auto"/>
                              <w:left w:val="nil"/>
                              <w:bottom w:val="single" w:sz="4" w:space="0" w:color="auto"/>
                              <w:right w:val="nil"/>
                            </w:tcBorders>
                          </w:tcPr>
                          <w:p w14:paraId="6374A8AA" w14:textId="77777777" w:rsidR="0084252C" w:rsidRPr="00A02B73" w:rsidRDefault="0084252C">
                            <w:pPr>
                              <w:rPr>
                                <w:i/>
                                <w:iCs/>
                                <w:sz w:val="18"/>
                                <w:szCs w:val="16"/>
                              </w:rPr>
                            </w:pPr>
                            <w:r w:rsidRPr="00A02B73">
                              <w:rPr>
                                <w:i/>
                                <w:iCs/>
                                <w:sz w:val="18"/>
                                <w:szCs w:val="16"/>
                              </w:rPr>
                              <w:t>Stage III:</w:t>
                            </w:r>
                          </w:p>
                          <w:p w14:paraId="0D777B5F" w14:textId="77777777" w:rsidR="0084252C" w:rsidRPr="00A02B73" w:rsidRDefault="0084252C">
                            <w:pPr>
                              <w:rPr>
                                <w:i/>
                                <w:iCs/>
                                <w:sz w:val="18"/>
                                <w:szCs w:val="16"/>
                              </w:rPr>
                            </w:pPr>
                            <w:r w:rsidRPr="00A02B73">
                              <w:rPr>
                                <w:i/>
                                <w:iCs/>
                                <w:sz w:val="18"/>
                                <w:szCs w:val="16"/>
                              </w:rPr>
                              <w:t>Internal Response</w:t>
                            </w:r>
                          </w:p>
                        </w:tc>
                        <w:tc>
                          <w:tcPr>
                            <w:tcW w:w="2970" w:type="dxa"/>
                            <w:tcBorders>
                              <w:top w:val="single" w:sz="4" w:space="0" w:color="auto"/>
                              <w:left w:val="nil"/>
                              <w:bottom w:val="single" w:sz="4" w:space="0" w:color="auto"/>
                              <w:right w:val="nil"/>
                            </w:tcBorders>
                          </w:tcPr>
                          <w:p w14:paraId="3BC4976C" w14:textId="77777777" w:rsidR="0084252C" w:rsidRPr="00A02B73" w:rsidRDefault="0084252C">
                            <w:pPr>
                              <w:rPr>
                                <w:i/>
                                <w:iCs/>
                                <w:sz w:val="18"/>
                                <w:szCs w:val="16"/>
                              </w:rPr>
                            </w:pPr>
                          </w:p>
                          <w:p w14:paraId="7FF1CEA4" w14:textId="77777777" w:rsidR="0084252C" w:rsidRPr="00A02B73" w:rsidRDefault="0084252C">
                            <w:pPr>
                              <w:rPr>
                                <w:i/>
                                <w:iCs/>
                                <w:sz w:val="18"/>
                                <w:szCs w:val="16"/>
                              </w:rPr>
                            </w:pPr>
                            <w:r w:rsidRPr="00A02B73">
                              <w:rPr>
                                <w:i/>
                                <w:iCs/>
                                <w:sz w:val="18"/>
                                <w:szCs w:val="16"/>
                              </w:rPr>
                              <w:t>Personal Meaning &amp; Faith</w:t>
                            </w:r>
                          </w:p>
                        </w:tc>
                        <w:tc>
                          <w:tcPr>
                            <w:tcW w:w="3240" w:type="dxa"/>
                            <w:tcBorders>
                              <w:top w:val="single" w:sz="4" w:space="0" w:color="auto"/>
                              <w:left w:val="nil"/>
                              <w:bottom w:val="single" w:sz="4" w:space="0" w:color="auto"/>
                              <w:right w:val="nil"/>
                            </w:tcBorders>
                          </w:tcPr>
                          <w:p w14:paraId="7A91638F" w14:textId="77777777" w:rsidR="0084252C" w:rsidRPr="00A02B73" w:rsidRDefault="0084252C">
                            <w:pPr>
                              <w:rPr>
                                <w:i/>
                                <w:iCs/>
                                <w:sz w:val="18"/>
                                <w:szCs w:val="16"/>
                              </w:rPr>
                            </w:pPr>
                          </w:p>
                          <w:p w14:paraId="36A55A10" w14:textId="77777777" w:rsidR="0084252C" w:rsidRPr="00A02B73" w:rsidRDefault="0084252C">
                            <w:pPr>
                              <w:rPr>
                                <w:i/>
                                <w:iCs/>
                                <w:sz w:val="18"/>
                                <w:szCs w:val="16"/>
                              </w:rPr>
                            </w:pPr>
                            <w:r w:rsidRPr="00A02B73">
                              <w:rPr>
                                <w:i/>
                                <w:iCs/>
                                <w:sz w:val="18"/>
                                <w:szCs w:val="16"/>
                              </w:rPr>
                              <w:t>Hopelessness &amp; Self Preservation</w:t>
                            </w:r>
                          </w:p>
                        </w:tc>
                      </w:tr>
                      <w:tr w:rsidR="0084252C" w14:paraId="3F38FC08" w14:textId="77777777" w:rsidTr="00A02B73">
                        <w:tc>
                          <w:tcPr>
                            <w:tcW w:w="1980" w:type="dxa"/>
                            <w:tcBorders>
                              <w:top w:val="single" w:sz="4" w:space="0" w:color="auto"/>
                              <w:left w:val="nil"/>
                              <w:bottom w:val="single" w:sz="4" w:space="0" w:color="auto"/>
                              <w:right w:val="nil"/>
                            </w:tcBorders>
                          </w:tcPr>
                          <w:p w14:paraId="53C56B8C" w14:textId="77777777" w:rsidR="0084252C" w:rsidRPr="00A02B73" w:rsidRDefault="0084252C">
                            <w:pPr>
                              <w:rPr>
                                <w:i/>
                                <w:iCs/>
                                <w:sz w:val="18"/>
                                <w:szCs w:val="16"/>
                              </w:rPr>
                            </w:pPr>
                          </w:p>
                        </w:tc>
                        <w:tc>
                          <w:tcPr>
                            <w:tcW w:w="2970" w:type="dxa"/>
                            <w:tcBorders>
                              <w:top w:val="single" w:sz="4" w:space="0" w:color="auto"/>
                              <w:left w:val="nil"/>
                              <w:bottom w:val="single" w:sz="4" w:space="0" w:color="auto"/>
                              <w:right w:val="nil"/>
                            </w:tcBorders>
                          </w:tcPr>
                          <w:p w14:paraId="57BBB93E" w14:textId="77777777" w:rsidR="0084252C" w:rsidRPr="00A02B73" w:rsidRDefault="0084252C" w:rsidP="00F71715">
                            <w:pPr>
                              <w:rPr>
                                <w:sz w:val="18"/>
                                <w:szCs w:val="16"/>
                              </w:rPr>
                            </w:pPr>
                            <w:r w:rsidRPr="00A02B73">
                              <w:rPr>
                                <w:sz w:val="18"/>
                                <w:szCs w:val="16"/>
                              </w:rPr>
                              <w:t>Spirituality &amp; existential searching</w:t>
                            </w:r>
                          </w:p>
                          <w:p w14:paraId="57BE6D98" w14:textId="77777777" w:rsidR="0084252C" w:rsidRPr="00A02B73" w:rsidRDefault="0084252C" w:rsidP="00F71715">
                            <w:pPr>
                              <w:rPr>
                                <w:sz w:val="18"/>
                                <w:szCs w:val="16"/>
                              </w:rPr>
                            </w:pPr>
                            <w:r w:rsidRPr="00A02B73">
                              <w:rPr>
                                <w:sz w:val="18"/>
                                <w:szCs w:val="16"/>
                              </w:rPr>
                              <w:t>Increased morality</w:t>
                            </w:r>
                          </w:p>
                          <w:p w14:paraId="3F7F338A" w14:textId="77777777" w:rsidR="0084252C" w:rsidRPr="00A02B73" w:rsidRDefault="0084252C" w:rsidP="00F71715">
                            <w:pPr>
                              <w:rPr>
                                <w:sz w:val="18"/>
                                <w:szCs w:val="16"/>
                              </w:rPr>
                            </w:pPr>
                            <w:r w:rsidRPr="00A02B73">
                              <w:rPr>
                                <w:sz w:val="18"/>
                                <w:szCs w:val="16"/>
                              </w:rPr>
                              <w:t xml:space="preserve">Positive reframing </w:t>
                            </w:r>
                          </w:p>
                        </w:tc>
                        <w:tc>
                          <w:tcPr>
                            <w:tcW w:w="3240" w:type="dxa"/>
                            <w:tcBorders>
                              <w:top w:val="single" w:sz="4" w:space="0" w:color="auto"/>
                              <w:left w:val="nil"/>
                              <w:bottom w:val="single" w:sz="4" w:space="0" w:color="auto"/>
                              <w:right w:val="nil"/>
                            </w:tcBorders>
                          </w:tcPr>
                          <w:p w14:paraId="0DE90E60" w14:textId="77777777" w:rsidR="0084252C" w:rsidRPr="00A02B73" w:rsidRDefault="0084252C" w:rsidP="00F71715">
                            <w:pPr>
                              <w:rPr>
                                <w:sz w:val="18"/>
                                <w:szCs w:val="16"/>
                              </w:rPr>
                            </w:pPr>
                            <w:r w:rsidRPr="00A02B73">
                              <w:rPr>
                                <w:sz w:val="18"/>
                                <w:szCs w:val="16"/>
                              </w:rPr>
                              <w:t>Emotional dysregulation</w:t>
                            </w:r>
                          </w:p>
                          <w:p w14:paraId="40D9392A" w14:textId="77777777" w:rsidR="0084252C" w:rsidRPr="00A02B73" w:rsidRDefault="0084252C" w:rsidP="00F71715">
                            <w:pPr>
                              <w:rPr>
                                <w:sz w:val="18"/>
                                <w:szCs w:val="16"/>
                              </w:rPr>
                            </w:pPr>
                            <w:r w:rsidRPr="00A02B73">
                              <w:rPr>
                                <w:sz w:val="18"/>
                                <w:szCs w:val="16"/>
                              </w:rPr>
                              <w:t>Self-destructiveness</w:t>
                            </w:r>
                          </w:p>
                          <w:p w14:paraId="6872D440" w14:textId="77777777" w:rsidR="0084252C" w:rsidRPr="00A02B73" w:rsidRDefault="0084252C" w:rsidP="00F71715">
                            <w:pPr>
                              <w:rPr>
                                <w:sz w:val="18"/>
                                <w:szCs w:val="16"/>
                              </w:rPr>
                            </w:pPr>
                            <w:r w:rsidRPr="00A02B73">
                              <w:rPr>
                                <w:sz w:val="18"/>
                                <w:szCs w:val="16"/>
                              </w:rPr>
                              <w:t>Negative self-concept</w:t>
                            </w:r>
                          </w:p>
                          <w:p w14:paraId="18458CD8" w14:textId="77777777" w:rsidR="0084252C" w:rsidRPr="00A02B73" w:rsidRDefault="0084252C" w:rsidP="00F71715">
                            <w:pPr>
                              <w:rPr>
                                <w:sz w:val="18"/>
                                <w:szCs w:val="16"/>
                              </w:rPr>
                            </w:pPr>
                            <w:r w:rsidRPr="00A02B73">
                              <w:rPr>
                                <w:sz w:val="18"/>
                                <w:szCs w:val="16"/>
                              </w:rPr>
                              <w:t>Truncated morality</w:t>
                            </w:r>
                          </w:p>
                        </w:tc>
                      </w:tr>
                      <w:tr w:rsidR="0084252C" w14:paraId="63D5A78F" w14:textId="77777777" w:rsidTr="00A02B73">
                        <w:tc>
                          <w:tcPr>
                            <w:tcW w:w="1980" w:type="dxa"/>
                            <w:tcBorders>
                              <w:top w:val="single" w:sz="4" w:space="0" w:color="auto"/>
                              <w:left w:val="nil"/>
                              <w:bottom w:val="single" w:sz="4" w:space="0" w:color="auto"/>
                              <w:right w:val="nil"/>
                            </w:tcBorders>
                          </w:tcPr>
                          <w:p w14:paraId="08299647" w14:textId="77777777" w:rsidR="0084252C" w:rsidRPr="00A02B73" w:rsidRDefault="0084252C">
                            <w:pPr>
                              <w:rPr>
                                <w:i/>
                                <w:iCs/>
                                <w:sz w:val="18"/>
                                <w:szCs w:val="16"/>
                              </w:rPr>
                            </w:pPr>
                            <w:r w:rsidRPr="00A02B73">
                              <w:rPr>
                                <w:i/>
                                <w:iCs/>
                                <w:sz w:val="18"/>
                                <w:szCs w:val="16"/>
                              </w:rPr>
                              <w:t>Stage IV:</w:t>
                            </w:r>
                          </w:p>
                          <w:p w14:paraId="3E76CD54" w14:textId="77777777" w:rsidR="0084252C" w:rsidRPr="00A02B73" w:rsidRDefault="0084252C">
                            <w:pPr>
                              <w:rPr>
                                <w:i/>
                                <w:iCs/>
                                <w:sz w:val="18"/>
                                <w:szCs w:val="16"/>
                              </w:rPr>
                            </w:pPr>
                            <w:r w:rsidRPr="00A02B73">
                              <w:rPr>
                                <w:i/>
                                <w:iCs/>
                                <w:sz w:val="18"/>
                                <w:szCs w:val="16"/>
                              </w:rPr>
                              <w:t>Social Interaction</w:t>
                            </w:r>
                          </w:p>
                        </w:tc>
                        <w:tc>
                          <w:tcPr>
                            <w:tcW w:w="2970" w:type="dxa"/>
                            <w:tcBorders>
                              <w:top w:val="single" w:sz="4" w:space="0" w:color="auto"/>
                              <w:left w:val="nil"/>
                              <w:bottom w:val="single" w:sz="4" w:space="0" w:color="auto"/>
                              <w:right w:val="nil"/>
                            </w:tcBorders>
                          </w:tcPr>
                          <w:p w14:paraId="6EAFD772" w14:textId="77777777" w:rsidR="0084252C" w:rsidRPr="00A02B73" w:rsidRDefault="0084252C">
                            <w:pPr>
                              <w:rPr>
                                <w:i/>
                                <w:iCs/>
                                <w:sz w:val="18"/>
                                <w:szCs w:val="16"/>
                              </w:rPr>
                            </w:pPr>
                          </w:p>
                          <w:p w14:paraId="6AE918A3" w14:textId="77777777" w:rsidR="0084252C" w:rsidRPr="00A02B73" w:rsidRDefault="0084252C">
                            <w:pPr>
                              <w:rPr>
                                <w:i/>
                                <w:iCs/>
                                <w:sz w:val="18"/>
                                <w:szCs w:val="16"/>
                              </w:rPr>
                            </w:pPr>
                            <w:r w:rsidRPr="00A02B73">
                              <w:rPr>
                                <w:i/>
                                <w:iCs/>
                                <w:sz w:val="18"/>
                                <w:szCs w:val="16"/>
                              </w:rPr>
                              <w:t>Reaching Out</w:t>
                            </w:r>
                          </w:p>
                        </w:tc>
                        <w:tc>
                          <w:tcPr>
                            <w:tcW w:w="3240" w:type="dxa"/>
                            <w:tcBorders>
                              <w:top w:val="single" w:sz="4" w:space="0" w:color="auto"/>
                              <w:left w:val="nil"/>
                              <w:bottom w:val="single" w:sz="4" w:space="0" w:color="auto"/>
                              <w:right w:val="nil"/>
                            </w:tcBorders>
                          </w:tcPr>
                          <w:p w14:paraId="0B631888" w14:textId="77777777" w:rsidR="0084252C" w:rsidRPr="00A02B73" w:rsidRDefault="0084252C">
                            <w:pPr>
                              <w:rPr>
                                <w:i/>
                                <w:iCs/>
                                <w:sz w:val="18"/>
                                <w:szCs w:val="16"/>
                              </w:rPr>
                            </w:pPr>
                          </w:p>
                          <w:p w14:paraId="73B0E1DC" w14:textId="77777777" w:rsidR="0084252C" w:rsidRPr="00A02B73" w:rsidRDefault="0084252C">
                            <w:pPr>
                              <w:rPr>
                                <w:i/>
                                <w:iCs/>
                                <w:sz w:val="18"/>
                                <w:szCs w:val="16"/>
                              </w:rPr>
                            </w:pPr>
                            <w:r w:rsidRPr="00A02B73">
                              <w:rPr>
                                <w:i/>
                                <w:iCs/>
                                <w:sz w:val="18"/>
                                <w:szCs w:val="16"/>
                              </w:rPr>
                              <w:t>Isolation &amp; Negative Peer Interaction</w:t>
                            </w:r>
                          </w:p>
                        </w:tc>
                      </w:tr>
                      <w:tr w:rsidR="0084252C" w:rsidRPr="00E265FB" w14:paraId="70C4F106" w14:textId="77777777" w:rsidTr="00A02B73">
                        <w:tc>
                          <w:tcPr>
                            <w:tcW w:w="1980" w:type="dxa"/>
                            <w:tcBorders>
                              <w:top w:val="single" w:sz="4" w:space="0" w:color="auto"/>
                              <w:left w:val="nil"/>
                              <w:bottom w:val="single" w:sz="4" w:space="0" w:color="auto"/>
                              <w:right w:val="nil"/>
                            </w:tcBorders>
                          </w:tcPr>
                          <w:p w14:paraId="168A15DC" w14:textId="77777777" w:rsidR="0084252C" w:rsidRPr="00A02B73" w:rsidRDefault="0084252C">
                            <w:pPr>
                              <w:rPr>
                                <w:i/>
                                <w:iCs/>
                                <w:sz w:val="18"/>
                                <w:szCs w:val="16"/>
                              </w:rPr>
                            </w:pPr>
                          </w:p>
                        </w:tc>
                        <w:tc>
                          <w:tcPr>
                            <w:tcW w:w="2970" w:type="dxa"/>
                            <w:tcBorders>
                              <w:top w:val="single" w:sz="4" w:space="0" w:color="auto"/>
                              <w:left w:val="nil"/>
                              <w:bottom w:val="single" w:sz="4" w:space="0" w:color="auto"/>
                              <w:right w:val="nil"/>
                            </w:tcBorders>
                          </w:tcPr>
                          <w:p w14:paraId="4A754488" w14:textId="77777777" w:rsidR="0084252C" w:rsidRPr="00A02B73" w:rsidRDefault="0084252C" w:rsidP="00F71715">
                            <w:pPr>
                              <w:rPr>
                                <w:sz w:val="18"/>
                                <w:szCs w:val="16"/>
                              </w:rPr>
                            </w:pPr>
                            <w:r w:rsidRPr="00A02B73">
                              <w:rPr>
                                <w:sz w:val="18"/>
                                <w:szCs w:val="16"/>
                              </w:rPr>
                              <w:t xml:space="preserve">Vulnerability </w:t>
                            </w:r>
                          </w:p>
                          <w:p w14:paraId="0FD2E44F" w14:textId="77777777" w:rsidR="0084252C" w:rsidRPr="00A02B73" w:rsidRDefault="0084252C" w:rsidP="00F71715">
                            <w:pPr>
                              <w:rPr>
                                <w:sz w:val="18"/>
                                <w:szCs w:val="16"/>
                              </w:rPr>
                            </w:pPr>
                            <w:r w:rsidRPr="00A02B73">
                              <w:rPr>
                                <w:sz w:val="18"/>
                                <w:szCs w:val="16"/>
                              </w:rPr>
                              <w:t>Sharing emotions</w:t>
                            </w:r>
                          </w:p>
                          <w:p w14:paraId="288D6871" w14:textId="77777777" w:rsidR="0084252C" w:rsidRPr="00A02B73" w:rsidRDefault="0084252C" w:rsidP="00F71715">
                            <w:pPr>
                              <w:rPr>
                                <w:sz w:val="18"/>
                                <w:szCs w:val="16"/>
                              </w:rPr>
                            </w:pPr>
                            <w:r w:rsidRPr="00A02B73">
                              <w:rPr>
                                <w:sz w:val="18"/>
                                <w:szCs w:val="16"/>
                              </w:rPr>
                              <w:t>Positive peer group</w:t>
                            </w:r>
                          </w:p>
                          <w:p w14:paraId="53EC844D" w14:textId="77777777" w:rsidR="0084252C" w:rsidRPr="00A02B73" w:rsidRDefault="0084252C" w:rsidP="00F71715">
                            <w:pPr>
                              <w:rPr>
                                <w:sz w:val="18"/>
                                <w:szCs w:val="16"/>
                              </w:rPr>
                            </w:pPr>
                            <w:r w:rsidRPr="00A02B73">
                              <w:rPr>
                                <w:sz w:val="18"/>
                                <w:szCs w:val="16"/>
                              </w:rPr>
                              <w:t>Adult confidants</w:t>
                            </w:r>
                          </w:p>
                          <w:p w14:paraId="339C623A" w14:textId="77777777" w:rsidR="0084252C" w:rsidRPr="00A02B73" w:rsidRDefault="0084252C" w:rsidP="00F71715">
                            <w:pPr>
                              <w:rPr>
                                <w:sz w:val="18"/>
                                <w:szCs w:val="16"/>
                              </w:rPr>
                            </w:pPr>
                            <w:r w:rsidRPr="00A02B73">
                              <w:rPr>
                                <w:sz w:val="18"/>
                                <w:szCs w:val="16"/>
                              </w:rPr>
                              <w:t>Empathy &amp; altruism</w:t>
                            </w:r>
                          </w:p>
                        </w:tc>
                        <w:tc>
                          <w:tcPr>
                            <w:tcW w:w="3240" w:type="dxa"/>
                            <w:tcBorders>
                              <w:top w:val="single" w:sz="4" w:space="0" w:color="auto"/>
                              <w:left w:val="nil"/>
                              <w:bottom w:val="single" w:sz="4" w:space="0" w:color="auto"/>
                              <w:right w:val="nil"/>
                            </w:tcBorders>
                          </w:tcPr>
                          <w:p w14:paraId="11712643" w14:textId="77777777" w:rsidR="0084252C" w:rsidRPr="00A02B73" w:rsidRDefault="0084252C" w:rsidP="00F71715">
                            <w:pPr>
                              <w:rPr>
                                <w:sz w:val="18"/>
                                <w:szCs w:val="16"/>
                              </w:rPr>
                            </w:pPr>
                            <w:r w:rsidRPr="00A02B73">
                              <w:rPr>
                                <w:sz w:val="18"/>
                                <w:szCs w:val="16"/>
                              </w:rPr>
                              <w:t>Emotional isolation</w:t>
                            </w:r>
                          </w:p>
                          <w:p w14:paraId="3CD58DFD" w14:textId="77777777" w:rsidR="0084252C" w:rsidRPr="00A02B73" w:rsidRDefault="0084252C" w:rsidP="00F71715">
                            <w:pPr>
                              <w:rPr>
                                <w:sz w:val="18"/>
                                <w:szCs w:val="16"/>
                              </w:rPr>
                            </w:pPr>
                            <w:r w:rsidRPr="00A02B73">
                              <w:rPr>
                                <w:sz w:val="18"/>
                                <w:szCs w:val="16"/>
                              </w:rPr>
                              <w:t>Hyper vigilance</w:t>
                            </w:r>
                          </w:p>
                          <w:p w14:paraId="67B4FED8" w14:textId="77777777" w:rsidR="0084252C" w:rsidRPr="00A02B73" w:rsidRDefault="0084252C" w:rsidP="00F71715">
                            <w:pPr>
                              <w:rPr>
                                <w:sz w:val="18"/>
                                <w:szCs w:val="16"/>
                              </w:rPr>
                            </w:pPr>
                            <w:r w:rsidRPr="00A02B73">
                              <w:rPr>
                                <w:sz w:val="18"/>
                                <w:szCs w:val="16"/>
                              </w:rPr>
                              <w:t>Deviant peer group</w:t>
                            </w:r>
                          </w:p>
                          <w:p w14:paraId="25A19FCD" w14:textId="77777777" w:rsidR="0084252C" w:rsidRPr="00A02B73" w:rsidRDefault="0084252C" w:rsidP="00F71715">
                            <w:pPr>
                              <w:rPr>
                                <w:sz w:val="18"/>
                                <w:szCs w:val="16"/>
                                <w:lang w:val="de-DE"/>
                              </w:rPr>
                            </w:pPr>
                            <w:r w:rsidRPr="00A02B73">
                              <w:rPr>
                                <w:sz w:val="18"/>
                                <w:szCs w:val="16"/>
                              </w:rPr>
                              <w:t>Delinquency &amp; crime</w:t>
                            </w:r>
                          </w:p>
                          <w:p w14:paraId="447C5490" w14:textId="77777777" w:rsidR="0084252C" w:rsidRPr="00A02B73" w:rsidRDefault="0084252C">
                            <w:pPr>
                              <w:rPr>
                                <w:sz w:val="18"/>
                                <w:szCs w:val="16"/>
                                <w:lang w:val="de-DE"/>
                              </w:rPr>
                            </w:pPr>
                          </w:p>
                        </w:tc>
                      </w:tr>
                      <w:tr w:rsidR="0084252C" w:rsidRPr="00E265FB" w14:paraId="15CD34AB" w14:textId="77777777" w:rsidTr="00A02B73">
                        <w:tc>
                          <w:tcPr>
                            <w:tcW w:w="1980" w:type="dxa"/>
                            <w:tcBorders>
                              <w:top w:val="single" w:sz="4" w:space="0" w:color="auto"/>
                              <w:left w:val="nil"/>
                              <w:bottom w:val="single" w:sz="4" w:space="0" w:color="auto"/>
                              <w:right w:val="nil"/>
                            </w:tcBorders>
                          </w:tcPr>
                          <w:p w14:paraId="4E5F75C7" w14:textId="77777777" w:rsidR="0084252C" w:rsidRPr="00A02B73" w:rsidRDefault="0084252C">
                            <w:pPr>
                              <w:rPr>
                                <w:i/>
                                <w:iCs/>
                                <w:sz w:val="18"/>
                                <w:szCs w:val="16"/>
                              </w:rPr>
                            </w:pPr>
                            <w:r w:rsidRPr="00A02B73">
                              <w:rPr>
                                <w:i/>
                                <w:iCs/>
                                <w:sz w:val="18"/>
                                <w:szCs w:val="16"/>
                              </w:rPr>
                              <w:t>Stage V:</w:t>
                            </w:r>
                          </w:p>
                          <w:p w14:paraId="3F364436" w14:textId="77777777" w:rsidR="0084252C" w:rsidRPr="00A02B73" w:rsidRDefault="0084252C">
                            <w:pPr>
                              <w:rPr>
                                <w:i/>
                                <w:iCs/>
                                <w:sz w:val="18"/>
                                <w:szCs w:val="16"/>
                              </w:rPr>
                            </w:pPr>
                            <w:r w:rsidRPr="00A02B73">
                              <w:rPr>
                                <w:i/>
                                <w:iCs/>
                                <w:sz w:val="18"/>
                                <w:szCs w:val="16"/>
                              </w:rPr>
                              <w:t>Future Orientation</w:t>
                            </w:r>
                          </w:p>
                        </w:tc>
                        <w:tc>
                          <w:tcPr>
                            <w:tcW w:w="2970" w:type="dxa"/>
                            <w:tcBorders>
                              <w:top w:val="single" w:sz="4" w:space="0" w:color="auto"/>
                              <w:left w:val="nil"/>
                              <w:bottom w:val="single" w:sz="4" w:space="0" w:color="auto"/>
                              <w:right w:val="nil"/>
                            </w:tcBorders>
                          </w:tcPr>
                          <w:p w14:paraId="1FE39B31" w14:textId="77777777" w:rsidR="0084252C" w:rsidRPr="00A02B73" w:rsidRDefault="0084252C">
                            <w:pPr>
                              <w:rPr>
                                <w:i/>
                                <w:iCs/>
                                <w:sz w:val="18"/>
                                <w:szCs w:val="16"/>
                              </w:rPr>
                            </w:pPr>
                          </w:p>
                          <w:p w14:paraId="79C57CE4" w14:textId="77777777" w:rsidR="0084252C" w:rsidRPr="00A02B73" w:rsidRDefault="0084252C">
                            <w:pPr>
                              <w:rPr>
                                <w:i/>
                                <w:iCs/>
                                <w:sz w:val="18"/>
                                <w:szCs w:val="16"/>
                              </w:rPr>
                            </w:pPr>
                            <w:r w:rsidRPr="00A02B73">
                              <w:rPr>
                                <w:i/>
                                <w:iCs/>
                                <w:sz w:val="18"/>
                                <w:szCs w:val="16"/>
                              </w:rPr>
                              <w:t>Perseverance &amp; Community</w:t>
                            </w:r>
                          </w:p>
                        </w:tc>
                        <w:tc>
                          <w:tcPr>
                            <w:tcW w:w="3240" w:type="dxa"/>
                            <w:tcBorders>
                              <w:top w:val="single" w:sz="4" w:space="0" w:color="auto"/>
                              <w:left w:val="nil"/>
                              <w:bottom w:val="single" w:sz="4" w:space="0" w:color="auto"/>
                              <w:right w:val="nil"/>
                            </w:tcBorders>
                          </w:tcPr>
                          <w:p w14:paraId="28552BB8" w14:textId="77777777" w:rsidR="0084252C" w:rsidRPr="00A02B73" w:rsidRDefault="0084252C">
                            <w:pPr>
                              <w:rPr>
                                <w:i/>
                                <w:iCs/>
                                <w:sz w:val="18"/>
                                <w:szCs w:val="16"/>
                              </w:rPr>
                            </w:pPr>
                          </w:p>
                          <w:p w14:paraId="667AF31B" w14:textId="77777777" w:rsidR="0084252C" w:rsidRPr="00A02B73" w:rsidRDefault="0084252C">
                            <w:pPr>
                              <w:rPr>
                                <w:i/>
                                <w:iCs/>
                                <w:sz w:val="18"/>
                                <w:szCs w:val="16"/>
                              </w:rPr>
                            </w:pPr>
                            <w:r w:rsidRPr="00A02B73">
                              <w:rPr>
                                <w:i/>
                                <w:iCs/>
                                <w:sz w:val="18"/>
                                <w:szCs w:val="16"/>
                              </w:rPr>
                              <w:t>Resignation &amp; Violence Perpetuation</w:t>
                            </w:r>
                          </w:p>
                        </w:tc>
                      </w:tr>
                      <w:tr w:rsidR="0084252C" w14:paraId="10FC467F" w14:textId="77777777" w:rsidTr="00A02B73">
                        <w:trPr>
                          <w:trHeight w:val="279"/>
                        </w:trPr>
                        <w:tc>
                          <w:tcPr>
                            <w:tcW w:w="1980" w:type="dxa"/>
                            <w:tcBorders>
                              <w:top w:val="nil"/>
                              <w:left w:val="nil"/>
                              <w:bottom w:val="double" w:sz="6" w:space="0" w:color="auto"/>
                              <w:right w:val="nil"/>
                            </w:tcBorders>
                          </w:tcPr>
                          <w:p w14:paraId="7C6A4023" w14:textId="77777777" w:rsidR="0084252C" w:rsidRPr="00A02B73" w:rsidRDefault="0084252C">
                            <w:pPr>
                              <w:rPr>
                                <w:i/>
                                <w:iCs/>
                                <w:sz w:val="18"/>
                                <w:szCs w:val="16"/>
                              </w:rPr>
                            </w:pPr>
                          </w:p>
                        </w:tc>
                        <w:tc>
                          <w:tcPr>
                            <w:tcW w:w="2970" w:type="dxa"/>
                            <w:tcBorders>
                              <w:top w:val="nil"/>
                              <w:left w:val="nil"/>
                              <w:bottom w:val="double" w:sz="6" w:space="0" w:color="auto"/>
                              <w:right w:val="nil"/>
                            </w:tcBorders>
                          </w:tcPr>
                          <w:p w14:paraId="132B6B84" w14:textId="77777777" w:rsidR="0084252C" w:rsidRPr="00A02B73" w:rsidRDefault="0084252C" w:rsidP="00F71715">
                            <w:pPr>
                              <w:rPr>
                                <w:sz w:val="18"/>
                                <w:szCs w:val="16"/>
                              </w:rPr>
                            </w:pPr>
                            <w:r w:rsidRPr="00A02B73">
                              <w:rPr>
                                <w:sz w:val="18"/>
                                <w:szCs w:val="16"/>
                              </w:rPr>
                              <w:t>Optimistic future</w:t>
                            </w:r>
                          </w:p>
                          <w:p w14:paraId="03C8508B" w14:textId="77777777" w:rsidR="0084252C" w:rsidRPr="00A02B73" w:rsidRDefault="0084252C" w:rsidP="00F71715">
                            <w:pPr>
                              <w:rPr>
                                <w:sz w:val="18"/>
                                <w:szCs w:val="16"/>
                              </w:rPr>
                            </w:pPr>
                            <w:r w:rsidRPr="00A02B73">
                              <w:rPr>
                                <w:sz w:val="18"/>
                                <w:szCs w:val="16"/>
                              </w:rPr>
                              <w:t>Emphasis on success</w:t>
                            </w:r>
                          </w:p>
                          <w:p w14:paraId="36C690B4" w14:textId="77777777" w:rsidR="0084252C" w:rsidRPr="00A02B73" w:rsidRDefault="0084252C" w:rsidP="00F71715">
                            <w:pPr>
                              <w:rPr>
                                <w:sz w:val="18"/>
                                <w:szCs w:val="16"/>
                              </w:rPr>
                            </w:pPr>
                            <w:r w:rsidRPr="00A02B73">
                              <w:rPr>
                                <w:sz w:val="18"/>
                                <w:szCs w:val="16"/>
                              </w:rPr>
                              <w:t>Community involvement</w:t>
                            </w:r>
                          </w:p>
                          <w:p w14:paraId="7AAA29AC" w14:textId="77777777" w:rsidR="0084252C" w:rsidRPr="00A02B73" w:rsidRDefault="0084252C" w:rsidP="00F71715">
                            <w:pPr>
                              <w:rPr>
                                <w:sz w:val="18"/>
                                <w:szCs w:val="16"/>
                              </w:rPr>
                            </w:pPr>
                            <w:r w:rsidRPr="00A02B73">
                              <w:rPr>
                                <w:sz w:val="18"/>
                                <w:szCs w:val="16"/>
                              </w:rPr>
                              <w:t>Hope</w:t>
                            </w:r>
                          </w:p>
                        </w:tc>
                        <w:tc>
                          <w:tcPr>
                            <w:tcW w:w="3240" w:type="dxa"/>
                            <w:tcBorders>
                              <w:top w:val="nil"/>
                              <w:left w:val="nil"/>
                              <w:bottom w:val="double" w:sz="6" w:space="0" w:color="auto"/>
                              <w:right w:val="nil"/>
                            </w:tcBorders>
                          </w:tcPr>
                          <w:p w14:paraId="6D0D94FB" w14:textId="77777777" w:rsidR="0084252C" w:rsidRPr="00A02B73" w:rsidRDefault="0084252C" w:rsidP="00F71715">
                            <w:pPr>
                              <w:rPr>
                                <w:sz w:val="18"/>
                                <w:szCs w:val="16"/>
                              </w:rPr>
                            </w:pPr>
                            <w:r w:rsidRPr="00A02B73">
                              <w:rPr>
                                <w:sz w:val="18"/>
                                <w:szCs w:val="16"/>
                              </w:rPr>
                              <w:t>Violence perpetration</w:t>
                            </w:r>
                          </w:p>
                          <w:p w14:paraId="3D1957CC" w14:textId="77777777" w:rsidR="0084252C" w:rsidRPr="00A02B73" w:rsidRDefault="0084252C" w:rsidP="00F71715">
                            <w:pPr>
                              <w:rPr>
                                <w:sz w:val="18"/>
                                <w:szCs w:val="16"/>
                              </w:rPr>
                            </w:pPr>
                            <w:r w:rsidRPr="00A02B73">
                              <w:rPr>
                                <w:sz w:val="18"/>
                                <w:szCs w:val="16"/>
                              </w:rPr>
                              <w:t>Academic/Job failure</w:t>
                            </w:r>
                          </w:p>
                          <w:p w14:paraId="1049F545" w14:textId="77777777" w:rsidR="0084252C" w:rsidRPr="00A02B73" w:rsidRDefault="0084252C" w:rsidP="00F71715">
                            <w:pPr>
                              <w:rPr>
                                <w:sz w:val="18"/>
                                <w:szCs w:val="16"/>
                              </w:rPr>
                            </w:pPr>
                            <w:r w:rsidRPr="00A02B73">
                              <w:rPr>
                                <w:sz w:val="18"/>
                                <w:szCs w:val="16"/>
                              </w:rPr>
                              <w:t>Few opportunities</w:t>
                            </w:r>
                          </w:p>
                          <w:p w14:paraId="00530879" w14:textId="77777777" w:rsidR="0084252C" w:rsidRPr="00A02B73" w:rsidRDefault="0084252C" w:rsidP="00F71715">
                            <w:pPr>
                              <w:rPr>
                                <w:sz w:val="18"/>
                                <w:szCs w:val="16"/>
                              </w:rPr>
                            </w:pPr>
                            <w:r w:rsidRPr="00A02B73">
                              <w:rPr>
                                <w:sz w:val="18"/>
                                <w:szCs w:val="16"/>
                              </w:rPr>
                              <w:t>Negative view of future</w:t>
                            </w:r>
                          </w:p>
                          <w:p w14:paraId="0C78CA79" w14:textId="77777777" w:rsidR="0084252C" w:rsidRPr="00A02B73" w:rsidRDefault="0084252C" w:rsidP="00F71715">
                            <w:pPr>
                              <w:rPr>
                                <w:sz w:val="18"/>
                                <w:szCs w:val="16"/>
                              </w:rPr>
                            </w:pPr>
                            <w:r w:rsidRPr="00A02B73">
                              <w:rPr>
                                <w:sz w:val="18"/>
                                <w:szCs w:val="16"/>
                              </w:rPr>
                              <w:t>Despair</w:t>
                            </w:r>
                          </w:p>
                        </w:tc>
                      </w:tr>
                    </w:tbl>
                    <w:p w14:paraId="39294361" w14:textId="77777777" w:rsidR="0084252C" w:rsidRDefault="0084252C" w:rsidP="0070088C"/>
                  </w:txbxContent>
                </v:textbox>
                <w10:wrap type="square" anchorx="margin" anchory="margin"/>
              </v:shape>
            </w:pict>
          </mc:Fallback>
        </mc:AlternateContent>
      </w:r>
      <w:r w:rsidR="00713DE4" w:rsidRPr="00713DE4">
        <w:rPr>
          <w:rFonts w:cs="Arial"/>
          <w:szCs w:val="20"/>
        </w:rPr>
        <w:t xml:space="preserve">   </w:t>
      </w:r>
    </w:p>
    <w:p w14:paraId="2061D3CF" w14:textId="77777777" w:rsidR="00713DE4" w:rsidRPr="0003108D" w:rsidRDefault="00713DE4" w:rsidP="00713DE4">
      <w:pPr>
        <w:rPr>
          <w:rFonts w:cs="Arial"/>
          <w:b/>
          <w:szCs w:val="20"/>
        </w:rPr>
      </w:pPr>
      <w:r w:rsidRPr="0003108D">
        <w:rPr>
          <w:rFonts w:cs="Arial"/>
          <w:b/>
          <w:szCs w:val="20"/>
        </w:rPr>
        <w:t>3.2</w:t>
      </w:r>
      <w:r w:rsidRPr="0003108D">
        <w:rPr>
          <w:rFonts w:cs="Arial"/>
          <w:b/>
          <w:szCs w:val="20"/>
        </w:rPr>
        <w:tab/>
        <w:t>Stage II: Critical Incident</w:t>
      </w:r>
    </w:p>
    <w:p w14:paraId="64077C72" w14:textId="57B4DE43" w:rsidR="0003108D" w:rsidRDefault="00713DE4" w:rsidP="00713DE4">
      <w:pPr>
        <w:rPr>
          <w:rFonts w:cs="Arial"/>
          <w:szCs w:val="20"/>
        </w:rPr>
      </w:pPr>
      <w:r w:rsidRPr="00713DE4">
        <w:rPr>
          <w:rFonts w:cs="Arial"/>
          <w:szCs w:val="20"/>
        </w:rPr>
        <w:t xml:space="preserve">Every youth in this study was able to identify at least one incident that was more traumatizing or threatening than the multitude of violence-related events they had experienced. These critical incidents often resulted in posttraumatic stress reactions. For several of the youth, the critical incident also marked a turning point in their lives. The emotional upheaval of the traumatic event caused them to re-examine their own lives and often led towards positive personal growth. Those youth who appeared to recover from their trauma and make a more adaptive shift in their development all stated that their painful, critical experience was ultimately beneficial to them. In contrast, the youth who continued to be at risk for future involvement in violence did not identify </w:t>
      </w:r>
      <w:r w:rsidRPr="00713DE4">
        <w:rPr>
          <w:rFonts w:cs="Arial"/>
          <w:szCs w:val="20"/>
        </w:rPr>
        <w:lastRenderedPageBreak/>
        <w:t xml:space="preserve">any positive outcomes of their traumatic experiences. For these youth, the traumatic events they experienced only appeared to exacerbate complex traumatic symptoms and violence-related behaviors. </w:t>
      </w:r>
    </w:p>
    <w:p w14:paraId="0E3E0FDD" w14:textId="77777777" w:rsidR="00713DE4" w:rsidRPr="00713DE4" w:rsidRDefault="00713DE4" w:rsidP="00713DE4">
      <w:pPr>
        <w:rPr>
          <w:rFonts w:cs="Arial"/>
          <w:szCs w:val="20"/>
        </w:rPr>
      </w:pPr>
      <w:r w:rsidRPr="00713DE4">
        <w:rPr>
          <w:rFonts w:cs="Arial"/>
          <w:szCs w:val="20"/>
        </w:rPr>
        <w:t xml:space="preserve">  </w:t>
      </w:r>
    </w:p>
    <w:p w14:paraId="7DF33AB8" w14:textId="77777777" w:rsidR="00713DE4" w:rsidRPr="0003108D" w:rsidRDefault="00713DE4" w:rsidP="00713DE4">
      <w:pPr>
        <w:rPr>
          <w:rFonts w:cs="Arial"/>
          <w:b/>
          <w:szCs w:val="20"/>
        </w:rPr>
      </w:pPr>
      <w:r w:rsidRPr="0003108D">
        <w:rPr>
          <w:rFonts w:cs="Arial"/>
          <w:b/>
          <w:szCs w:val="20"/>
        </w:rPr>
        <w:t>3.2.1</w:t>
      </w:r>
      <w:r w:rsidRPr="0003108D">
        <w:rPr>
          <w:rFonts w:cs="Arial"/>
          <w:b/>
          <w:szCs w:val="20"/>
        </w:rPr>
        <w:tab/>
        <w:t>Distress &amp; Loss</w:t>
      </w:r>
    </w:p>
    <w:p w14:paraId="373B13A2" w14:textId="7621A42C" w:rsidR="00713DE4" w:rsidRPr="00713DE4" w:rsidRDefault="00713DE4" w:rsidP="00713DE4">
      <w:pPr>
        <w:rPr>
          <w:rFonts w:cs="Arial"/>
          <w:szCs w:val="20"/>
        </w:rPr>
      </w:pPr>
      <w:r w:rsidRPr="00713DE4">
        <w:rPr>
          <w:rFonts w:cs="Arial"/>
          <w:szCs w:val="20"/>
        </w:rPr>
        <w:t xml:space="preserve">Positive growth following trauma </w:t>
      </w:r>
      <w:r w:rsidR="005D11E7">
        <w:rPr>
          <w:rFonts w:cs="Arial"/>
          <w:szCs w:val="20"/>
        </w:rPr>
        <w:t>was</w:t>
      </w:r>
      <w:r w:rsidRPr="00713DE4">
        <w:rPr>
          <w:rFonts w:cs="Arial"/>
          <w:szCs w:val="20"/>
        </w:rPr>
        <w:t xml:space="preserve"> associated with high levels of distress immediately following the incident. Youth with the most intense trauma and grief related symptoms were also the individuals who described the most posttraumatic positive growth. Individuals who witnessed someone killed, especially with whom they had a close relationship, explained how the event changed them permanently. As did the youth who felt that their lives were being seriously threatened. The critical incident that led towards personal change was subjectively the most distressing to the individual, rather than the most severe by objective standards. Thus, the critical incident and subsequent change were highly subjective and personal to the individual.</w:t>
      </w:r>
      <w:r w:rsidR="005D11E7">
        <w:rPr>
          <w:rFonts w:cs="Arial"/>
          <w:szCs w:val="20"/>
        </w:rPr>
        <w:t xml:space="preserve"> </w:t>
      </w:r>
      <w:r w:rsidRPr="00713DE4">
        <w:rPr>
          <w:rFonts w:cs="Arial"/>
          <w:szCs w:val="20"/>
        </w:rPr>
        <w:t>In addition to distressful levels of posttraumatic symptoms, witnesses to violence also reported significant grief and loss. Youth with a strong relationship to the victim tended to have more intense and longer periods of grief.  As with trauma, those who experienced the most distress also reported the most significant positive changes.</w:t>
      </w:r>
    </w:p>
    <w:p w14:paraId="706CF04F" w14:textId="77777777" w:rsidR="00713DE4" w:rsidRPr="00713DE4" w:rsidRDefault="00713DE4" w:rsidP="00713DE4">
      <w:pPr>
        <w:rPr>
          <w:rFonts w:cs="Arial"/>
          <w:szCs w:val="20"/>
        </w:rPr>
      </w:pPr>
    </w:p>
    <w:p w14:paraId="1E4C0B53" w14:textId="77777777" w:rsidR="00713DE4" w:rsidRPr="0003108D" w:rsidRDefault="00713DE4" w:rsidP="00713DE4">
      <w:pPr>
        <w:rPr>
          <w:rFonts w:cs="Arial"/>
          <w:b/>
          <w:szCs w:val="20"/>
        </w:rPr>
      </w:pPr>
      <w:r w:rsidRPr="0003108D">
        <w:rPr>
          <w:rFonts w:cs="Arial"/>
          <w:b/>
          <w:szCs w:val="20"/>
        </w:rPr>
        <w:t>3.2.2</w:t>
      </w:r>
      <w:r w:rsidRPr="0003108D">
        <w:rPr>
          <w:rFonts w:cs="Arial"/>
          <w:b/>
          <w:szCs w:val="20"/>
        </w:rPr>
        <w:tab/>
        <w:t>Numbing &amp; Anger</w:t>
      </w:r>
    </w:p>
    <w:p w14:paraId="665B361C" w14:textId="2E4808EB" w:rsidR="00713DE4" w:rsidRPr="00713DE4" w:rsidRDefault="00713DE4" w:rsidP="00713DE4">
      <w:pPr>
        <w:rPr>
          <w:rFonts w:cs="Arial"/>
          <w:szCs w:val="20"/>
        </w:rPr>
      </w:pPr>
      <w:r w:rsidRPr="00713DE4">
        <w:rPr>
          <w:rFonts w:cs="Arial"/>
          <w:szCs w:val="20"/>
        </w:rPr>
        <w:t xml:space="preserve">The youth who did not portray positive growth following their traumatic experience described psycho-physiological reactions associated with complex traumatic reactions. These youth reported less severe distress in response to the critical incidents identified. Most of the at-risk youth tended to block out feelings and not risk the vulnerability to share their emotions. They did not share the traumatic experience with others, especially not family members. Outwardly, these youth presented with a tough, invincible demeanor, stating that violent experiences affected them very little. However, based upon their PTSD inventory, most of these youth had clinically significant PTSD symptoms. Anger was the most common reaction these youth had to both their own victimization, and harm inflicted upon people close to them. </w:t>
      </w:r>
      <w:r w:rsidR="00A44C9B">
        <w:rPr>
          <w:rFonts w:cs="Arial"/>
          <w:szCs w:val="20"/>
        </w:rPr>
        <w:t>T</w:t>
      </w:r>
      <w:r w:rsidRPr="00713DE4">
        <w:rPr>
          <w:rFonts w:cs="Arial"/>
          <w:szCs w:val="20"/>
        </w:rPr>
        <w:t xml:space="preserve">heir behavioral reaction to most of their traumatic experiences was increased arousal symptoms in the form of hyper vigilance and aggression. </w:t>
      </w:r>
    </w:p>
    <w:p w14:paraId="5437AA89" w14:textId="77777777" w:rsidR="00713DE4" w:rsidRPr="00713DE4" w:rsidRDefault="00713DE4" w:rsidP="00713DE4">
      <w:pPr>
        <w:rPr>
          <w:rFonts w:cs="Arial"/>
          <w:szCs w:val="20"/>
        </w:rPr>
      </w:pPr>
      <w:r w:rsidRPr="00713DE4">
        <w:rPr>
          <w:rFonts w:cs="Arial"/>
          <w:szCs w:val="20"/>
        </w:rPr>
        <w:t xml:space="preserve"> </w:t>
      </w:r>
    </w:p>
    <w:p w14:paraId="769625DA" w14:textId="77777777" w:rsidR="00713DE4" w:rsidRPr="0003108D" w:rsidRDefault="0003108D" w:rsidP="00713DE4">
      <w:pPr>
        <w:rPr>
          <w:rFonts w:cs="Arial"/>
          <w:b/>
          <w:szCs w:val="20"/>
        </w:rPr>
      </w:pPr>
      <w:r w:rsidRPr="0003108D">
        <w:rPr>
          <w:rFonts w:cs="Arial"/>
          <w:b/>
          <w:szCs w:val="20"/>
        </w:rPr>
        <w:t>3</w:t>
      </w:r>
      <w:r w:rsidR="00713DE4" w:rsidRPr="0003108D">
        <w:rPr>
          <w:rFonts w:cs="Arial"/>
          <w:b/>
          <w:szCs w:val="20"/>
        </w:rPr>
        <w:t>.3</w:t>
      </w:r>
      <w:r w:rsidR="00713DE4" w:rsidRPr="0003108D">
        <w:rPr>
          <w:rFonts w:cs="Arial"/>
          <w:b/>
          <w:szCs w:val="20"/>
        </w:rPr>
        <w:tab/>
        <w:t>Stage III: Internal Response</w:t>
      </w:r>
    </w:p>
    <w:p w14:paraId="79372576" w14:textId="6EF84421" w:rsidR="0003108D" w:rsidRDefault="00713DE4" w:rsidP="00713DE4">
      <w:pPr>
        <w:rPr>
          <w:rFonts w:cs="Arial"/>
          <w:szCs w:val="20"/>
        </w:rPr>
      </w:pPr>
      <w:r w:rsidRPr="00713DE4">
        <w:rPr>
          <w:rFonts w:cs="Arial"/>
          <w:szCs w:val="20"/>
        </w:rPr>
        <w:t>Following critical incidents of violence, youth reported a period during which they tried to find meaning related to the event. This was especially true for the youth who were resilient and tended to recover better from the event. Resilient youth found ways to salvage some positive personal meaning from the trauma. In contrast, the youth who were at more risk tended to view the event as evidence that their world was a hostile place to defend themselves</w:t>
      </w:r>
      <w:r w:rsidR="00A44C9B">
        <w:rPr>
          <w:rFonts w:cs="Arial"/>
          <w:szCs w:val="20"/>
        </w:rPr>
        <w:t xml:space="preserve"> against</w:t>
      </w:r>
      <w:r w:rsidRPr="00713DE4">
        <w:rPr>
          <w:rFonts w:cs="Arial"/>
          <w:szCs w:val="20"/>
        </w:rPr>
        <w:t>.</w:t>
      </w:r>
    </w:p>
    <w:p w14:paraId="53A51714" w14:textId="77777777" w:rsidR="00713DE4" w:rsidRPr="00713DE4" w:rsidRDefault="00713DE4" w:rsidP="00713DE4">
      <w:pPr>
        <w:rPr>
          <w:rFonts w:cs="Arial"/>
          <w:szCs w:val="20"/>
        </w:rPr>
      </w:pPr>
      <w:r w:rsidRPr="00713DE4">
        <w:rPr>
          <w:rFonts w:cs="Arial"/>
          <w:szCs w:val="20"/>
        </w:rPr>
        <w:t xml:space="preserve">   </w:t>
      </w:r>
    </w:p>
    <w:p w14:paraId="7F7333CD" w14:textId="77777777" w:rsidR="00713DE4" w:rsidRPr="0003108D" w:rsidRDefault="0003108D" w:rsidP="00713DE4">
      <w:pPr>
        <w:rPr>
          <w:rFonts w:cs="Arial"/>
          <w:b/>
          <w:szCs w:val="20"/>
        </w:rPr>
      </w:pPr>
      <w:r w:rsidRPr="0003108D">
        <w:rPr>
          <w:rFonts w:cs="Arial"/>
          <w:b/>
          <w:szCs w:val="20"/>
        </w:rPr>
        <w:t>3</w:t>
      </w:r>
      <w:r w:rsidR="00713DE4" w:rsidRPr="0003108D">
        <w:rPr>
          <w:rFonts w:cs="Arial"/>
          <w:b/>
          <w:szCs w:val="20"/>
        </w:rPr>
        <w:t>.3.1</w:t>
      </w:r>
      <w:r w:rsidR="00713DE4" w:rsidRPr="0003108D">
        <w:rPr>
          <w:rFonts w:cs="Arial"/>
          <w:b/>
          <w:szCs w:val="20"/>
        </w:rPr>
        <w:tab/>
        <w:t>Personal Meaning</w:t>
      </w:r>
    </w:p>
    <w:p w14:paraId="7D37D70E" w14:textId="7F82CF71" w:rsidR="00713DE4" w:rsidRPr="00713DE4" w:rsidRDefault="00713DE4" w:rsidP="00713DE4">
      <w:pPr>
        <w:rPr>
          <w:rFonts w:cs="Arial"/>
          <w:szCs w:val="20"/>
        </w:rPr>
      </w:pPr>
      <w:r w:rsidRPr="00713DE4">
        <w:rPr>
          <w:rFonts w:cs="Arial"/>
          <w:szCs w:val="20"/>
        </w:rPr>
        <w:t>All of the youth who experienced positive growth following trauma described a period of wor</w:t>
      </w:r>
      <w:r w:rsidR="00A44C9B">
        <w:rPr>
          <w:rFonts w:cs="Arial"/>
          <w:szCs w:val="20"/>
        </w:rPr>
        <w:t>king through their pain and fear</w:t>
      </w:r>
      <w:r w:rsidRPr="00713DE4">
        <w:rPr>
          <w:rFonts w:cs="Arial"/>
          <w:szCs w:val="20"/>
        </w:rPr>
        <w:t xml:space="preserve"> </w:t>
      </w:r>
      <w:r w:rsidR="00A44C9B">
        <w:rPr>
          <w:rFonts w:cs="Arial"/>
          <w:szCs w:val="20"/>
        </w:rPr>
        <w:t xml:space="preserve">to find some meaning </w:t>
      </w:r>
      <w:r w:rsidRPr="00713DE4">
        <w:rPr>
          <w:rFonts w:cs="Arial"/>
          <w:szCs w:val="20"/>
        </w:rPr>
        <w:t>in the experience. For some, creative expression helped them in this working through phase. For others it was the faith or belief system of supportive adults. These youth engaged in a form of existential searching to understand why such an unfortunate tragedy happened to them, or to someone close to them. Resilient youth described how the critical event caused them to change perspectives on their own lives and future. Many youth described how they realized how fragile life can be, and how easily it can be taken away. A common theme amongst resilient youth was transformation towards nonviolence. Following the death of someone close, or the threat to personal safety, resilient youth realized how potentially fatal any conflict can become. As a result, many youth made conscious efforts to manage their own anger and avoid fights. In the process of recovering from their trauma, resilient youth became more mature, and positively future oriented.</w:t>
      </w:r>
      <w:r w:rsidRPr="00713DE4">
        <w:rPr>
          <w:rFonts w:cs="Arial"/>
          <w:szCs w:val="20"/>
        </w:rPr>
        <w:tab/>
      </w:r>
    </w:p>
    <w:p w14:paraId="6242378C" w14:textId="77777777" w:rsidR="00713DE4" w:rsidRPr="00713DE4" w:rsidRDefault="00713DE4" w:rsidP="00713DE4">
      <w:pPr>
        <w:rPr>
          <w:rFonts w:cs="Arial"/>
          <w:szCs w:val="20"/>
        </w:rPr>
      </w:pPr>
    </w:p>
    <w:p w14:paraId="2159D70B" w14:textId="77777777" w:rsidR="00713DE4" w:rsidRPr="0003108D" w:rsidRDefault="0003108D" w:rsidP="00713DE4">
      <w:pPr>
        <w:rPr>
          <w:rFonts w:cs="Arial"/>
          <w:b/>
          <w:szCs w:val="20"/>
        </w:rPr>
      </w:pPr>
      <w:r w:rsidRPr="0003108D">
        <w:rPr>
          <w:rFonts w:cs="Arial"/>
          <w:b/>
          <w:szCs w:val="20"/>
        </w:rPr>
        <w:t>3</w:t>
      </w:r>
      <w:r w:rsidR="00713DE4" w:rsidRPr="0003108D">
        <w:rPr>
          <w:rFonts w:cs="Arial"/>
          <w:b/>
          <w:szCs w:val="20"/>
        </w:rPr>
        <w:t>.3.2</w:t>
      </w:r>
      <w:r w:rsidR="00713DE4" w:rsidRPr="0003108D">
        <w:rPr>
          <w:rFonts w:cs="Arial"/>
          <w:b/>
          <w:szCs w:val="20"/>
        </w:rPr>
        <w:tab/>
        <w:t>Hopelessness &amp; Self-Preservation</w:t>
      </w:r>
    </w:p>
    <w:p w14:paraId="003150B5" w14:textId="6DA59ADD" w:rsidR="00713DE4" w:rsidRPr="00713DE4" w:rsidRDefault="00713DE4" w:rsidP="00713DE4">
      <w:pPr>
        <w:rPr>
          <w:rFonts w:cs="Arial"/>
          <w:szCs w:val="20"/>
        </w:rPr>
      </w:pPr>
      <w:r w:rsidRPr="00713DE4">
        <w:rPr>
          <w:rFonts w:cs="Arial"/>
          <w:szCs w:val="20"/>
        </w:rPr>
        <w:t xml:space="preserve">Youth who did not struggle with finding personal meaning to the traumatic events continued to engage in violence, and tended to have less positive future orientations. The youth most involved in violence appeared to be the most apathetic to its effects. They did not come to the realization </w:t>
      </w:r>
      <w:r w:rsidRPr="00713DE4">
        <w:rPr>
          <w:rFonts w:cs="Arial"/>
          <w:szCs w:val="20"/>
        </w:rPr>
        <w:lastRenderedPageBreak/>
        <w:t xml:space="preserve">that their behavior was self-destructive. Rather, they described how they retaliated in response to their victimization. Many of these youth described how they became excited in anticipation of a fight. Violence had become a source of power for these youth; a way to combat the powerlessness they may have experienced as a victim. Based upon their statements and behaviors, at-risk youth appeared to be more amoral than the resilient youth. They reported criminal activities and the perpetration of violence with very little remorse. Youth reported assaults, robberies, and narcotics trafficking as common activities. </w:t>
      </w:r>
      <w:r w:rsidR="00A44C9B">
        <w:rPr>
          <w:rFonts w:cs="Arial"/>
          <w:szCs w:val="20"/>
        </w:rPr>
        <w:t>R</w:t>
      </w:r>
      <w:r w:rsidRPr="00713DE4">
        <w:rPr>
          <w:rFonts w:cs="Arial"/>
          <w:szCs w:val="20"/>
        </w:rPr>
        <w:t>emorse reported often related to being appreh</w:t>
      </w:r>
      <w:r w:rsidR="00A44C9B">
        <w:rPr>
          <w:rFonts w:cs="Arial"/>
          <w:szCs w:val="20"/>
        </w:rPr>
        <w:t>ended, rather than concern for</w:t>
      </w:r>
      <w:r w:rsidRPr="00713DE4">
        <w:rPr>
          <w:rFonts w:cs="Arial"/>
          <w:szCs w:val="20"/>
        </w:rPr>
        <w:t xml:space="preserve"> the</w:t>
      </w:r>
      <w:r w:rsidR="00A44C9B">
        <w:rPr>
          <w:rFonts w:cs="Arial"/>
          <w:szCs w:val="20"/>
        </w:rPr>
        <w:t>ir</w:t>
      </w:r>
      <w:r w:rsidRPr="00713DE4">
        <w:rPr>
          <w:rFonts w:cs="Arial"/>
          <w:szCs w:val="20"/>
        </w:rPr>
        <w:t xml:space="preserve"> victims. The youth at-risk for violence portrayed a degree of cold self-protection. </w:t>
      </w:r>
      <w:r w:rsidR="00A44C9B">
        <w:rPr>
          <w:rFonts w:cs="Arial"/>
          <w:szCs w:val="20"/>
        </w:rPr>
        <w:t xml:space="preserve">Their value system </w:t>
      </w:r>
      <w:r w:rsidRPr="00713DE4">
        <w:rPr>
          <w:rFonts w:cs="Arial"/>
          <w:szCs w:val="20"/>
        </w:rPr>
        <w:t xml:space="preserve">seemed to be based on getting what they could, by any means necessary. </w:t>
      </w:r>
    </w:p>
    <w:p w14:paraId="7EF1D5F7" w14:textId="77777777" w:rsidR="00713DE4" w:rsidRPr="00713DE4" w:rsidRDefault="00713DE4" w:rsidP="00713DE4">
      <w:pPr>
        <w:rPr>
          <w:rFonts w:cs="Arial"/>
          <w:szCs w:val="20"/>
        </w:rPr>
      </w:pPr>
    </w:p>
    <w:p w14:paraId="1EAA5700" w14:textId="77777777" w:rsidR="00713DE4" w:rsidRPr="0003108D" w:rsidRDefault="0003108D" w:rsidP="00713DE4">
      <w:pPr>
        <w:rPr>
          <w:rFonts w:cs="Arial"/>
          <w:b/>
          <w:szCs w:val="20"/>
        </w:rPr>
      </w:pPr>
      <w:r w:rsidRPr="0003108D">
        <w:rPr>
          <w:rFonts w:cs="Arial"/>
          <w:b/>
          <w:szCs w:val="20"/>
        </w:rPr>
        <w:t>3</w:t>
      </w:r>
      <w:r w:rsidR="00713DE4" w:rsidRPr="0003108D">
        <w:rPr>
          <w:rFonts w:cs="Arial"/>
          <w:b/>
          <w:szCs w:val="20"/>
        </w:rPr>
        <w:t>.4</w:t>
      </w:r>
      <w:r w:rsidR="00713DE4" w:rsidRPr="0003108D">
        <w:rPr>
          <w:rFonts w:cs="Arial"/>
          <w:b/>
          <w:szCs w:val="20"/>
        </w:rPr>
        <w:tab/>
        <w:t>Stage IV: Social Interaction</w:t>
      </w:r>
    </w:p>
    <w:p w14:paraId="07D85D04" w14:textId="0FA13599" w:rsidR="00713DE4" w:rsidRDefault="00713DE4" w:rsidP="00713DE4">
      <w:pPr>
        <w:rPr>
          <w:rFonts w:cs="Arial"/>
          <w:szCs w:val="20"/>
        </w:rPr>
      </w:pPr>
      <w:r w:rsidRPr="00713DE4">
        <w:rPr>
          <w:rFonts w:cs="Arial"/>
          <w:szCs w:val="20"/>
        </w:rPr>
        <w:t>In concert with forming personal internal values related to violence, youth from the two different paths exhibited divergent social patterns. Youth who recovered from their trauma and were more resilient sought adaptive peer relationships and attempted to effect positive solutions to youth violence. The at-risk youth gravitated towards other youth who had similar interests</w:t>
      </w:r>
      <w:r w:rsidR="00A44C9B">
        <w:rPr>
          <w:rFonts w:cs="Arial"/>
          <w:szCs w:val="20"/>
        </w:rPr>
        <w:t xml:space="preserve">; and developed </w:t>
      </w:r>
      <w:r w:rsidRPr="00713DE4">
        <w:rPr>
          <w:rFonts w:cs="Arial"/>
          <w:szCs w:val="20"/>
        </w:rPr>
        <w:t>patterns of social interaction fraught with conflict, defiance, and aggression.</w:t>
      </w:r>
    </w:p>
    <w:p w14:paraId="127516E8" w14:textId="77777777" w:rsidR="0003108D" w:rsidRPr="00713DE4" w:rsidRDefault="0003108D" w:rsidP="00713DE4">
      <w:pPr>
        <w:rPr>
          <w:rFonts w:cs="Arial"/>
          <w:szCs w:val="20"/>
        </w:rPr>
      </w:pPr>
    </w:p>
    <w:p w14:paraId="30FC7B74" w14:textId="77777777" w:rsidR="00713DE4" w:rsidRPr="0003108D" w:rsidRDefault="0003108D" w:rsidP="00713DE4">
      <w:pPr>
        <w:rPr>
          <w:rFonts w:cs="Arial"/>
          <w:b/>
          <w:szCs w:val="20"/>
        </w:rPr>
      </w:pPr>
      <w:r>
        <w:rPr>
          <w:rFonts w:cs="Arial"/>
          <w:b/>
          <w:szCs w:val="20"/>
        </w:rPr>
        <w:t>3.4</w:t>
      </w:r>
      <w:r w:rsidRPr="0003108D">
        <w:rPr>
          <w:rFonts w:cs="Arial"/>
          <w:b/>
          <w:szCs w:val="20"/>
        </w:rPr>
        <w:t>.</w:t>
      </w:r>
      <w:r w:rsidR="00713DE4" w:rsidRPr="0003108D">
        <w:rPr>
          <w:rFonts w:cs="Arial"/>
          <w:b/>
          <w:szCs w:val="20"/>
        </w:rPr>
        <w:t>1</w:t>
      </w:r>
      <w:r w:rsidR="00713DE4" w:rsidRPr="0003108D">
        <w:rPr>
          <w:rFonts w:cs="Arial"/>
          <w:b/>
          <w:szCs w:val="20"/>
        </w:rPr>
        <w:tab/>
        <w:t>Reaching Out</w:t>
      </w:r>
    </w:p>
    <w:p w14:paraId="11A2ABE3" w14:textId="033F1E90" w:rsidR="00713DE4" w:rsidRPr="00713DE4" w:rsidRDefault="00713DE4" w:rsidP="00713DE4">
      <w:pPr>
        <w:rPr>
          <w:rFonts w:cs="Arial"/>
          <w:szCs w:val="20"/>
        </w:rPr>
      </w:pPr>
      <w:r w:rsidRPr="00713DE4">
        <w:rPr>
          <w:rFonts w:cs="Arial"/>
          <w:szCs w:val="20"/>
        </w:rPr>
        <w:t>A common social trend among the resilient youth was reaching out to others for support in order to cope with trauma-related difficulties. Individuals who were resilient identified significant sources of social support in their lives that they could rely upon immediately after their trauma. Initially many of the youth reported avoidance symptoms of blocking out feelings and not talking to others about the event. However, resilient youth tended to open up to other</w:t>
      </w:r>
      <w:r w:rsidR="00A44C9B">
        <w:rPr>
          <w:rFonts w:cs="Arial"/>
          <w:szCs w:val="20"/>
        </w:rPr>
        <w:t xml:space="preserve">s after a short period of time; </w:t>
      </w:r>
      <w:r w:rsidRPr="00713DE4">
        <w:rPr>
          <w:rFonts w:cs="Arial"/>
          <w:szCs w:val="20"/>
        </w:rPr>
        <w:t xml:space="preserve">initial isolation was gradually overcome and </w:t>
      </w:r>
      <w:r w:rsidR="00A44C9B">
        <w:rPr>
          <w:rFonts w:cs="Arial"/>
          <w:szCs w:val="20"/>
        </w:rPr>
        <w:t>they</w:t>
      </w:r>
      <w:r w:rsidRPr="00713DE4">
        <w:rPr>
          <w:rFonts w:cs="Arial"/>
          <w:szCs w:val="20"/>
        </w:rPr>
        <w:t xml:space="preserve"> were able to sh</w:t>
      </w:r>
      <w:r w:rsidR="00A44C9B">
        <w:rPr>
          <w:rFonts w:cs="Arial"/>
          <w:szCs w:val="20"/>
        </w:rPr>
        <w:t xml:space="preserve">are their feelings with others. </w:t>
      </w:r>
      <w:r w:rsidRPr="00713DE4">
        <w:rPr>
          <w:rFonts w:cs="Arial"/>
          <w:szCs w:val="20"/>
        </w:rPr>
        <w:t xml:space="preserve">Resilient youth described consistent, trustworthy sources of social support in their lives. They found relief in the support of peers, family members, and adult confidants. Every resilient youth was able to identify at least one significant individual in their lives with whom they could share their more private thoughts and feelings. For some, these were family members, or peers. Others, who were less connected to their family, found intimate support in adult confidents such as the leaders of their youth program, therapists, or teachers. </w:t>
      </w:r>
    </w:p>
    <w:p w14:paraId="28A8E7CD" w14:textId="77777777" w:rsidR="0003108D" w:rsidRDefault="0003108D" w:rsidP="00713DE4">
      <w:pPr>
        <w:rPr>
          <w:rFonts w:cs="Arial"/>
          <w:szCs w:val="20"/>
        </w:rPr>
      </w:pPr>
    </w:p>
    <w:p w14:paraId="72D1701F" w14:textId="77777777" w:rsidR="00713DE4" w:rsidRPr="0003108D" w:rsidRDefault="0003108D" w:rsidP="00713DE4">
      <w:pPr>
        <w:rPr>
          <w:rFonts w:cs="Arial"/>
          <w:b/>
          <w:szCs w:val="20"/>
        </w:rPr>
      </w:pPr>
      <w:r w:rsidRPr="0003108D">
        <w:rPr>
          <w:rFonts w:cs="Arial"/>
          <w:b/>
          <w:szCs w:val="20"/>
        </w:rPr>
        <w:t>3.</w:t>
      </w:r>
      <w:r w:rsidR="00713DE4" w:rsidRPr="0003108D">
        <w:rPr>
          <w:rFonts w:cs="Arial"/>
          <w:b/>
          <w:szCs w:val="20"/>
        </w:rPr>
        <w:t>4.2</w:t>
      </w:r>
      <w:r w:rsidR="00713DE4" w:rsidRPr="0003108D">
        <w:rPr>
          <w:rFonts w:cs="Arial"/>
          <w:b/>
          <w:szCs w:val="20"/>
        </w:rPr>
        <w:tab/>
        <w:t>Isolation &amp; Negative Peer Affiliation</w:t>
      </w:r>
    </w:p>
    <w:p w14:paraId="42F5FEC4" w14:textId="77777777" w:rsidR="001E0CB2" w:rsidRDefault="00713DE4" w:rsidP="00713DE4">
      <w:pPr>
        <w:rPr>
          <w:rFonts w:cs="Arial"/>
          <w:szCs w:val="20"/>
        </w:rPr>
      </w:pPr>
      <w:r w:rsidRPr="00713DE4">
        <w:rPr>
          <w:rFonts w:cs="Arial"/>
          <w:szCs w:val="20"/>
        </w:rPr>
        <w:t xml:space="preserve">At-risk youth tended to be more emotionally isolated and affiliate with other youth who engaged in self-destructive activities. These youth tended to report that they told no one about their traumatic experiences. They also did not have significant people in their lives that they trusted enough to share their innermost feelings, especially emotions that may reveal vulnerability or weakness. These youth presented with an impervious armor of toughness despite underlying posttraumatic symptoms. Most of these youth had to ignore their own emotional reactions related to being victims of violence. During the interview process, the youth who presented as being the toughest, least scared of violence, were the individuals who spoke incessantly for hours once they trusted the interviewer. These youth seemed to have no healthy outlet for their accumulated fear, anxiety and loss. </w:t>
      </w:r>
    </w:p>
    <w:p w14:paraId="7009D4B7" w14:textId="77777777" w:rsidR="001E0CB2" w:rsidRDefault="001E0CB2" w:rsidP="00713DE4">
      <w:pPr>
        <w:rPr>
          <w:rFonts w:cs="Arial"/>
          <w:szCs w:val="20"/>
        </w:rPr>
      </w:pPr>
    </w:p>
    <w:p w14:paraId="641B3414" w14:textId="723B827C" w:rsidR="00713DE4" w:rsidRPr="00713DE4" w:rsidRDefault="00713DE4" w:rsidP="00713DE4">
      <w:pPr>
        <w:rPr>
          <w:rFonts w:cs="Arial"/>
          <w:szCs w:val="20"/>
        </w:rPr>
      </w:pPr>
      <w:r w:rsidRPr="00713DE4">
        <w:rPr>
          <w:rFonts w:cs="Arial"/>
          <w:szCs w:val="20"/>
        </w:rPr>
        <w:t xml:space="preserve">There appeared to be a negative social progression for those youth most at-risk whereby their interactions with peers and society became increasingly detrimental and self-destructive. Some of the signs of this progression were: school failure and drop out; criminal involvement; poverty; and negative peer affiliation. Most of the youth who perpetrated violence attended school rarely, had already been incarcerated, and came from neighborhoods and families of extreme poverty. These youth also reported having friends with similar histories. These youth sought to belong as do any youth; however, they found it among peers who were equally involved in destructive lifestyles. As a result, their most influential source of social support was also their greatest source of risk for future involvement in violence and crime. </w:t>
      </w:r>
    </w:p>
    <w:p w14:paraId="02A9CA39" w14:textId="77777777" w:rsidR="00713DE4" w:rsidRPr="00713DE4" w:rsidRDefault="00713DE4" w:rsidP="00713DE4">
      <w:pPr>
        <w:rPr>
          <w:rFonts w:cs="Arial"/>
          <w:szCs w:val="20"/>
        </w:rPr>
      </w:pPr>
    </w:p>
    <w:p w14:paraId="46BF8FD9" w14:textId="77777777" w:rsidR="00713DE4" w:rsidRPr="0003108D" w:rsidRDefault="0003108D" w:rsidP="00713DE4">
      <w:pPr>
        <w:rPr>
          <w:rFonts w:cs="Arial"/>
          <w:b/>
          <w:szCs w:val="20"/>
        </w:rPr>
      </w:pPr>
      <w:r w:rsidRPr="0003108D">
        <w:rPr>
          <w:rFonts w:cs="Arial"/>
          <w:b/>
          <w:szCs w:val="20"/>
        </w:rPr>
        <w:t>3</w:t>
      </w:r>
      <w:r w:rsidR="00713DE4" w:rsidRPr="0003108D">
        <w:rPr>
          <w:rFonts w:cs="Arial"/>
          <w:b/>
          <w:szCs w:val="20"/>
        </w:rPr>
        <w:t>.5</w:t>
      </w:r>
      <w:r w:rsidR="00713DE4" w:rsidRPr="0003108D">
        <w:rPr>
          <w:rFonts w:cs="Arial"/>
          <w:b/>
          <w:szCs w:val="20"/>
        </w:rPr>
        <w:tab/>
        <w:t>Stage V: Future Orientation</w:t>
      </w:r>
    </w:p>
    <w:p w14:paraId="3DFE58F1" w14:textId="5E5EB837" w:rsidR="00713DE4" w:rsidRDefault="00713DE4" w:rsidP="00713DE4">
      <w:pPr>
        <w:rPr>
          <w:rFonts w:cs="Arial"/>
          <w:szCs w:val="20"/>
        </w:rPr>
      </w:pPr>
      <w:r w:rsidRPr="00713DE4">
        <w:rPr>
          <w:rFonts w:cs="Arial"/>
          <w:szCs w:val="20"/>
        </w:rPr>
        <w:lastRenderedPageBreak/>
        <w:t>There was a distinct difference between the perspectives of the future formed by resilient youth versus those at high risk. The resilient youth tended to be more optimistic and view their future as an opportunity to grow, despite their painful experiences. Youth who were at higher risk tended to maintain a view that the future only held more of the same threat and suffering they had endured. Whereas resilient youth tended to be excited about the unknown possibilities that lay in the future; at-risk youth were g</w:t>
      </w:r>
      <w:r w:rsidR="001E0CB2">
        <w:rPr>
          <w:rFonts w:cs="Arial"/>
          <w:szCs w:val="20"/>
        </w:rPr>
        <w:t>uarded and pessimistic about</w:t>
      </w:r>
      <w:r w:rsidRPr="00713DE4">
        <w:rPr>
          <w:rFonts w:cs="Arial"/>
          <w:szCs w:val="20"/>
        </w:rPr>
        <w:t xml:space="preserve"> unexpected threats that the future may entail.</w:t>
      </w:r>
    </w:p>
    <w:p w14:paraId="61A6EF9D" w14:textId="77777777" w:rsidR="0003108D" w:rsidRPr="00713DE4" w:rsidRDefault="0003108D" w:rsidP="00713DE4">
      <w:pPr>
        <w:rPr>
          <w:rFonts w:cs="Arial"/>
          <w:szCs w:val="20"/>
        </w:rPr>
      </w:pPr>
    </w:p>
    <w:p w14:paraId="5C43409C" w14:textId="77777777" w:rsidR="00713DE4" w:rsidRPr="0003108D" w:rsidRDefault="0003108D" w:rsidP="00713DE4">
      <w:pPr>
        <w:rPr>
          <w:rFonts w:cs="Arial"/>
          <w:b/>
          <w:szCs w:val="20"/>
        </w:rPr>
      </w:pPr>
      <w:r w:rsidRPr="0003108D">
        <w:rPr>
          <w:rFonts w:cs="Arial"/>
          <w:b/>
          <w:szCs w:val="20"/>
        </w:rPr>
        <w:t>3.</w:t>
      </w:r>
      <w:r w:rsidR="00713DE4" w:rsidRPr="0003108D">
        <w:rPr>
          <w:rFonts w:cs="Arial"/>
          <w:b/>
          <w:szCs w:val="20"/>
        </w:rPr>
        <w:t>5.1</w:t>
      </w:r>
      <w:r w:rsidR="00713DE4" w:rsidRPr="0003108D">
        <w:rPr>
          <w:rFonts w:cs="Arial"/>
          <w:b/>
          <w:szCs w:val="20"/>
        </w:rPr>
        <w:tab/>
        <w:t>Perseverance &amp; Community</w:t>
      </w:r>
    </w:p>
    <w:p w14:paraId="1B129410" w14:textId="64DD15C6" w:rsidR="00713DE4" w:rsidRDefault="00713DE4" w:rsidP="00713DE4">
      <w:pPr>
        <w:rPr>
          <w:rFonts w:cs="Arial"/>
          <w:szCs w:val="20"/>
        </w:rPr>
      </w:pPr>
      <w:r w:rsidRPr="00713DE4">
        <w:rPr>
          <w:rFonts w:cs="Arial"/>
          <w:szCs w:val="20"/>
        </w:rPr>
        <w:t>Resilient youth presented with perseverance to overcome the obstacles of their environment and self-confidence to attain positive life goals. Most of them did not regret the painful experiences they endured because they felt these pivotal events had helped them focus on having a more meaningful life. Many of these youth also described becoming part of a broader community devoted to affecting positive change. They were involved in programs that advocated for youth and attempted to ameliorate youth violence. Resilient youth managed to transform their traumatic experiences into lessons to teach other youth. Common characteristics these youth exhibited w</w:t>
      </w:r>
      <w:r w:rsidR="001E0CB2">
        <w:rPr>
          <w:rFonts w:cs="Arial"/>
          <w:szCs w:val="20"/>
        </w:rPr>
        <w:t>ere self-esteem, efficacy, and a</w:t>
      </w:r>
      <w:r w:rsidRPr="00713DE4">
        <w:rPr>
          <w:rFonts w:cs="Arial"/>
          <w:szCs w:val="20"/>
        </w:rPr>
        <w:t xml:space="preserve"> mature level of self-awareness. They conveyed a desire to promote positive change in their communities and overcome adversity rather than succumb to its perils.  </w:t>
      </w:r>
    </w:p>
    <w:p w14:paraId="32C6F92A" w14:textId="77777777" w:rsidR="0003108D" w:rsidRPr="00713DE4" w:rsidRDefault="0003108D" w:rsidP="00713DE4">
      <w:pPr>
        <w:rPr>
          <w:rFonts w:cs="Arial"/>
          <w:szCs w:val="20"/>
        </w:rPr>
      </w:pPr>
    </w:p>
    <w:p w14:paraId="16518173" w14:textId="77777777" w:rsidR="00713DE4" w:rsidRPr="0003108D" w:rsidRDefault="0003108D" w:rsidP="00713DE4">
      <w:pPr>
        <w:rPr>
          <w:rFonts w:cs="Arial"/>
          <w:b/>
          <w:szCs w:val="20"/>
        </w:rPr>
      </w:pPr>
      <w:r w:rsidRPr="0003108D">
        <w:rPr>
          <w:rFonts w:cs="Arial"/>
          <w:b/>
          <w:szCs w:val="20"/>
        </w:rPr>
        <w:t>3.</w:t>
      </w:r>
      <w:r w:rsidR="00713DE4" w:rsidRPr="0003108D">
        <w:rPr>
          <w:rFonts w:cs="Arial"/>
          <w:b/>
          <w:szCs w:val="20"/>
        </w:rPr>
        <w:t>5.2</w:t>
      </w:r>
      <w:r w:rsidR="00713DE4" w:rsidRPr="0003108D">
        <w:rPr>
          <w:rFonts w:cs="Arial"/>
          <w:b/>
          <w:szCs w:val="20"/>
        </w:rPr>
        <w:tab/>
        <w:t>Resignation &amp; Perpetuation of Violence</w:t>
      </w:r>
    </w:p>
    <w:p w14:paraId="57D3E979" w14:textId="109937B5" w:rsidR="00713DE4" w:rsidRPr="00713DE4" w:rsidRDefault="00713DE4" w:rsidP="00713DE4">
      <w:pPr>
        <w:rPr>
          <w:rFonts w:cs="Arial"/>
          <w:szCs w:val="20"/>
        </w:rPr>
      </w:pPr>
      <w:r w:rsidRPr="00713DE4">
        <w:rPr>
          <w:rFonts w:cs="Arial"/>
          <w:szCs w:val="20"/>
        </w:rPr>
        <w:t xml:space="preserve">The at-risk youth tended to be reactionary to their environment and were more pessimistic about their own future than their resilient peers. They had few recommendations for dealing with youth violence and tended to retaliate with violence whenever threatened. Some of the youth even admitted to being the provocateurs of violence. These youth did not convey a sense of genuine self-esteem or a healthy sense of self-efficacy. Several youth said that they feared they would die at a young age. At risk youth did not tend to have the optimistic plans for their future that the resilient youth had. Many had stopped attending school and were already involved in crime. Their orientation tended to be with the thrills and material gains of the present rather than striving towards more adaptive future goals. Several of the at-risk youth viewed violence as one of their only sources of power. They garnered respect by the fear they could instill in others. These youth tended not to have other healthy sources of self-esteem. Money from criminal activities provided a false sense of success, but also increased their involvement in violence. These youth described how they had to fight or carry a gun to protect their territory when dealing drugs. Crime often led to incarceration, which in turn resulted in more involvement with violence. Consequently, youth became engaged in a viscous cycle whereby they became deeper entrenched in self-destructive behaviors and violence with fewer opportunities to escape.  </w:t>
      </w:r>
    </w:p>
    <w:p w14:paraId="77B0B360" w14:textId="77777777" w:rsidR="00713DE4" w:rsidRPr="00713DE4" w:rsidRDefault="00713DE4" w:rsidP="00713DE4">
      <w:pPr>
        <w:rPr>
          <w:rFonts w:cs="Arial"/>
          <w:szCs w:val="20"/>
        </w:rPr>
      </w:pPr>
    </w:p>
    <w:p w14:paraId="50DE63B5" w14:textId="325F77DD" w:rsidR="00713DE4" w:rsidRDefault="00713DE4" w:rsidP="00713DE4">
      <w:pPr>
        <w:rPr>
          <w:rFonts w:cs="Arial"/>
          <w:b/>
          <w:szCs w:val="20"/>
        </w:rPr>
      </w:pPr>
      <w:r w:rsidRPr="0003108D">
        <w:rPr>
          <w:rFonts w:cs="Arial"/>
          <w:b/>
          <w:szCs w:val="20"/>
        </w:rPr>
        <w:t>4.</w:t>
      </w:r>
      <w:r w:rsidRPr="0003108D">
        <w:rPr>
          <w:rFonts w:cs="Arial"/>
          <w:b/>
          <w:szCs w:val="20"/>
        </w:rPr>
        <w:tab/>
      </w:r>
      <w:r w:rsidR="001E0CB2">
        <w:rPr>
          <w:rFonts w:cs="Arial"/>
          <w:b/>
          <w:szCs w:val="20"/>
        </w:rPr>
        <w:t>DISCUSSION</w:t>
      </w:r>
    </w:p>
    <w:p w14:paraId="5E8B3C19" w14:textId="77777777" w:rsidR="001E0CB2" w:rsidRPr="0003108D" w:rsidRDefault="001E0CB2" w:rsidP="00713DE4">
      <w:pPr>
        <w:rPr>
          <w:rFonts w:cs="Arial"/>
          <w:b/>
          <w:szCs w:val="20"/>
        </w:rPr>
      </w:pPr>
    </w:p>
    <w:p w14:paraId="6831AFEE" w14:textId="4BE5973A" w:rsidR="009122BC" w:rsidRDefault="00310507">
      <w:pPr>
        <w:rPr>
          <w:rFonts w:cs="Arial"/>
          <w:szCs w:val="20"/>
        </w:rPr>
      </w:pPr>
      <w:r>
        <w:rPr>
          <w:rFonts w:cs="Arial"/>
          <w:szCs w:val="20"/>
        </w:rPr>
        <w:t xml:space="preserve">Community violence has become one of the greatest risks </w:t>
      </w:r>
      <w:r w:rsidR="00FB15AC">
        <w:rPr>
          <w:rFonts w:cs="Arial"/>
          <w:szCs w:val="20"/>
        </w:rPr>
        <w:t xml:space="preserve">facing youth worldwide. </w:t>
      </w:r>
      <w:r w:rsidR="00FB15AC">
        <w:t>C</w:t>
      </w:r>
      <w:r>
        <w:t xml:space="preserve">hronic exposure often results in violence becoming a common aspect of </w:t>
      </w:r>
      <w:r w:rsidR="00FB15AC">
        <w:t>urban</w:t>
      </w:r>
      <w:r>
        <w:t xml:space="preserve"> life. </w:t>
      </w:r>
      <w:r w:rsidR="00FB15AC">
        <w:t xml:space="preserve">Youth are </w:t>
      </w:r>
      <w:r w:rsidR="00DC53F9">
        <w:t xml:space="preserve">the most common </w:t>
      </w:r>
      <w:r w:rsidR="00FB15AC">
        <w:t>victim and perpetrators of violence in their communities. This study provides insight into the vicious cycle of vio</w:t>
      </w:r>
      <w:r w:rsidR="00DC53F9">
        <w:t>lence many youth are trapped in; as well as</w:t>
      </w:r>
      <w:r w:rsidR="00FB15AC">
        <w:t xml:space="preserve"> ways in which many youth survive, and even thri</w:t>
      </w:r>
      <w:r w:rsidR="00DC53F9">
        <w:t>ve, in the face of such adversity</w:t>
      </w:r>
      <w:r w:rsidR="00FB15AC">
        <w:t xml:space="preserve">. </w:t>
      </w:r>
      <w:r w:rsidR="00DC53F9">
        <w:t xml:space="preserve">Many youth in this study found </w:t>
      </w:r>
      <w:r w:rsidR="0084252C">
        <w:t>way</w:t>
      </w:r>
      <w:r w:rsidR="00DC53F9">
        <w:t>s</w:t>
      </w:r>
      <w:r w:rsidR="0084252C">
        <w:t xml:space="preserve"> to turn </w:t>
      </w:r>
      <w:r w:rsidR="00DC53F9">
        <w:t xml:space="preserve">traumatic </w:t>
      </w:r>
      <w:r w:rsidR="0084252C">
        <w:t xml:space="preserve">events into positive turning points in their lives. This study provides an initial theory regarding risk and resiliency </w:t>
      </w:r>
      <w:r w:rsidR="00DC53F9">
        <w:t xml:space="preserve">factors </w:t>
      </w:r>
      <w:r w:rsidR="0084252C">
        <w:t>related to community violence. Educators and mental health professionals should consider</w:t>
      </w:r>
      <w:r w:rsidR="00DC53F9">
        <w:t xml:space="preserve"> these</w:t>
      </w:r>
      <w:r w:rsidR="0084252C">
        <w:t xml:space="preserve"> when working with urban youth. </w:t>
      </w:r>
      <w:r w:rsidR="0084252C" w:rsidRPr="00111734">
        <w:t>Despite the prevalence of community violence exposure and trauma among inner-city youth, there has been scant research on effective treatment approaches with this population.</w:t>
      </w:r>
      <w:r w:rsidR="0084252C">
        <w:t xml:space="preserve"> Further research is needed to better understand the complexities of trauma and resiliency among inner-city youth in order develop more effective, culturally relevant intervention strategies.</w:t>
      </w:r>
      <w:r w:rsidR="0084252C" w:rsidRPr="00FB15AC">
        <w:rPr>
          <w:rFonts w:cs="Arial"/>
          <w:szCs w:val="20"/>
        </w:rPr>
        <w:t xml:space="preserve"> </w:t>
      </w:r>
    </w:p>
    <w:p w14:paraId="31A6DB28" w14:textId="2E6E8846" w:rsidR="009122BC" w:rsidRPr="00B674E3" w:rsidRDefault="001E0CB2" w:rsidP="001E0CB2">
      <w:pPr>
        <w:pStyle w:val="Heading2"/>
        <w:numPr>
          <w:ilvl w:val="0"/>
          <w:numId w:val="0"/>
        </w:numPr>
      </w:pPr>
      <w:r>
        <w:t>5.</w:t>
      </w:r>
      <w:r>
        <w:tab/>
      </w:r>
      <w:r w:rsidR="00B674E3">
        <w:t>REFERENCES</w:t>
      </w:r>
    </w:p>
    <w:p w14:paraId="06812B31" w14:textId="251660F3" w:rsidR="009122BC" w:rsidRPr="00292070" w:rsidRDefault="009122BC" w:rsidP="00B674E3">
      <w:pPr>
        <w:widowControl w:val="0"/>
        <w:autoSpaceDE w:val="0"/>
        <w:autoSpaceDN w:val="0"/>
        <w:adjustRightInd w:val="0"/>
        <w:ind w:left="720" w:hanging="720"/>
        <w:rPr>
          <w:rFonts w:cs="Arial"/>
          <w:szCs w:val="20"/>
        </w:rPr>
      </w:pPr>
      <w:r w:rsidRPr="00292070">
        <w:rPr>
          <w:rFonts w:cs="Arial"/>
          <w:szCs w:val="20"/>
        </w:rPr>
        <w:t xml:space="preserve">Cooley, M. R., Turner, S. M., &amp; </w:t>
      </w:r>
      <w:proofErr w:type="spellStart"/>
      <w:r w:rsidRPr="00292070">
        <w:rPr>
          <w:rFonts w:cs="Arial"/>
          <w:szCs w:val="20"/>
        </w:rPr>
        <w:t>Beidel</w:t>
      </w:r>
      <w:proofErr w:type="spellEnd"/>
      <w:r w:rsidRPr="00292070">
        <w:rPr>
          <w:rFonts w:cs="Arial"/>
          <w:szCs w:val="20"/>
        </w:rPr>
        <w:t xml:space="preserve">, D. C. (1995). Assessing community violence: The </w:t>
      </w:r>
      <w:r w:rsidRPr="00292070">
        <w:rPr>
          <w:rFonts w:cs="Arial"/>
          <w:szCs w:val="20"/>
        </w:rPr>
        <w:lastRenderedPageBreak/>
        <w:t xml:space="preserve">children’s report of exposure to </w:t>
      </w:r>
      <w:r w:rsidRPr="00292070">
        <w:rPr>
          <w:rFonts w:cs="Arial"/>
          <w:color w:val="000000"/>
          <w:szCs w:val="20"/>
        </w:rPr>
        <w:t>violence. Journal of the American Academy of Child and Adolescent</w:t>
      </w:r>
      <w:r w:rsidRPr="00292070">
        <w:rPr>
          <w:rFonts w:cs="Arial"/>
          <w:szCs w:val="20"/>
        </w:rPr>
        <w:t xml:space="preserve"> </w:t>
      </w:r>
      <w:r w:rsidRPr="00292070">
        <w:rPr>
          <w:rFonts w:cs="Arial"/>
          <w:color w:val="000000"/>
          <w:szCs w:val="20"/>
        </w:rPr>
        <w:t>Psychiatry, 34(2), 201–206.</w:t>
      </w:r>
    </w:p>
    <w:p w14:paraId="6A8A6850" w14:textId="722D95B0" w:rsidR="009122BC" w:rsidRPr="00292070" w:rsidRDefault="00F83DC9" w:rsidP="000F2158">
      <w:pPr>
        <w:widowControl w:val="0"/>
        <w:autoSpaceDE w:val="0"/>
        <w:autoSpaceDN w:val="0"/>
        <w:adjustRightInd w:val="0"/>
        <w:ind w:left="720" w:hanging="720"/>
        <w:rPr>
          <w:rFonts w:cs="Arial"/>
          <w:color w:val="000000"/>
          <w:szCs w:val="20"/>
        </w:rPr>
      </w:pPr>
      <w:r w:rsidRPr="00292070">
        <w:rPr>
          <w:rFonts w:cs="Arial"/>
          <w:color w:val="000000"/>
          <w:szCs w:val="20"/>
        </w:rPr>
        <w:t>Farrell, A. D., &amp; Bruce, S. E. (1997). Impact of exposure to community violence on violent behavior and emotional distress among urban adolescents. Journal of Clinical Child Psychology, 26(1), 2–14.</w:t>
      </w:r>
    </w:p>
    <w:p w14:paraId="1CC96A86" w14:textId="77777777" w:rsidR="000F2158" w:rsidRPr="00292070" w:rsidRDefault="000F2158" w:rsidP="000F2158">
      <w:pPr>
        <w:widowControl w:val="0"/>
        <w:autoSpaceDE w:val="0"/>
        <w:autoSpaceDN w:val="0"/>
        <w:adjustRightInd w:val="0"/>
        <w:ind w:left="720" w:hanging="720"/>
        <w:rPr>
          <w:rFonts w:cs="Arial"/>
          <w:color w:val="000000"/>
          <w:szCs w:val="20"/>
        </w:rPr>
      </w:pPr>
      <w:r w:rsidRPr="00292070">
        <w:rPr>
          <w:rFonts w:cs="Arial"/>
          <w:color w:val="000000"/>
          <w:szCs w:val="20"/>
        </w:rPr>
        <w:t xml:space="preserve">Howard, D. E., </w:t>
      </w:r>
      <w:proofErr w:type="spellStart"/>
      <w:r w:rsidRPr="00292070">
        <w:rPr>
          <w:rFonts w:cs="Arial"/>
          <w:color w:val="000000"/>
          <w:szCs w:val="20"/>
        </w:rPr>
        <w:t>Feigelman</w:t>
      </w:r>
      <w:proofErr w:type="spellEnd"/>
      <w:r w:rsidRPr="00292070">
        <w:rPr>
          <w:rFonts w:cs="Arial"/>
          <w:color w:val="000000"/>
          <w:szCs w:val="20"/>
        </w:rPr>
        <w:t xml:space="preserve">, S., Li, X., Cross, S., &amp; </w:t>
      </w:r>
      <w:proofErr w:type="spellStart"/>
      <w:r w:rsidRPr="00292070">
        <w:rPr>
          <w:rFonts w:cs="Arial"/>
          <w:color w:val="000000"/>
          <w:szCs w:val="20"/>
        </w:rPr>
        <w:t>Rachuba</w:t>
      </w:r>
      <w:proofErr w:type="spellEnd"/>
      <w:r w:rsidRPr="00292070">
        <w:rPr>
          <w:rFonts w:cs="Arial"/>
          <w:color w:val="000000"/>
          <w:szCs w:val="20"/>
        </w:rPr>
        <w:t>, L. (2002). The relationship among violence victimization, witnessing violence, and youth distress. Journal of Adolescent Health, 31(6), 455–462.</w:t>
      </w:r>
    </w:p>
    <w:p w14:paraId="096CFC43" w14:textId="3C0E67F4" w:rsidR="000F2158" w:rsidRPr="00292070" w:rsidRDefault="000F2158" w:rsidP="000F2158">
      <w:pPr>
        <w:widowControl w:val="0"/>
        <w:autoSpaceDE w:val="0"/>
        <w:autoSpaceDN w:val="0"/>
        <w:adjustRightInd w:val="0"/>
        <w:ind w:left="720" w:hanging="720"/>
        <w:rPr>
          <w:rFonts w:cs="Arial"/>
          <w:color w:val="000000"/>
          <w:szCs w:val="20"/>
        </w:rPr>
      </w:pPr>
      <w:r w:rsidRPr="00292070">
        <w:rPr>
          <w:rFonts w:cs="Arial"/>
          <w:color w:val="000000"/>
          <w:szCs w:val="20"/>
        </w:rPr>
        <w:t xml:space="preserve">Lerner, R. M., Lerner J. V., &amp; </w:t>
      </w:r>
      <w:proofErr w:type="spellStart"/>
      <w:r w:rsidRPr="00292070">
        <w:rPr>
          <w:rFonts w:cs="Arial"/>
          <w:color w:val="000000"/>
          <w:szCs w:val="20"/>
        </w:rPr>
        <w:t>Almerigi</w:t>
      </w:r>
      <w:proofErr w:type="spellEnd"/>
      <w:r w:rsidRPr="00292070">
        <w:rPr>
          <w:rFonts w:cs="Arial"/>
          <w:color w:val="000000"/>
          <w:szCs w:val="20"/>
        </w:rPr>
        <w:t>, J. B., et al. (2005). Positive youth development, participation in community youth development programs, and community contributions of fifth grade adolescents: Findings from the first wave of the 4-H study of positive youth development. Journal of Early Adolescence, 25(1), 17–71.</w:t>
      </w:r>
    </w:p>
    <w:p w14:paraId="53C08C0B" w14:textId="1F506DE3" w:rsidR="000F2158" w:rsidRDefault="000F2158" w:rsidP="00292070">
      <w:pPr>
        <w:widowControl w:val="0"/>
        <w:autoSpaceDE w:val="0"/>
        <w:autoSpaceDN w:val="0"/>
        <w:adjustRightInd w:val="0"/>
        <w:ind w:left="720" w:hanging="720"/>
        <w:rPr>
          <w:rFonts w:cs="Arial"/>
          <w:color w:val="000000"/>
          <w:szCs w:val="20"/>
        </w:rPr>
      </w:pPr>
      <w:r w:rsidRPr="00292070">
        <w:rPr>
          <w:rFonts w:cs="Arial"/>
          <w:color w:val="000000"/>
          <w:szCs w:val="20"/>
        </w:rPr>
        <w:t>Mazza, J. J., &amp; Reynolds, W. M. (1999). Exposure to violence in young inner-city adolescents: Relationships with suicidal ideation, depression, and PTSD symptomatology. Journal of Abnormal Child Psychology, 27(3), 203–213.</w:t>
      </w:r>
    </w:p>
    <w:p w14:paraId="0757516A" w14:textId="77777777" w:rsidR="005F1903" w:rsidRPr="005F1903" w:rsidRDefault="005F1903" w:rsidP="005F1903">
      <w:pPr>
        <w:widowControl w:val="0"/>
        <w:autoSpaceDE w:val="0"/>
        <w:autoSpaceDN w:val="0"/>
        <w:adjustRightInd w:val="0"/>
        <w:ind w:left="720" w:hanging="720"/>
        <w:rPr>
          <w:rFonts w:cs="Arial"/>
          <w:color w:val="000000"/>
          <w:szCs w:val="20"/>
        </w:rPr>
      </w:pPr>
      <w:r w:rsidRPr="005F1903">
        <w:rPr>
          <w:rFonts w:cs="Arial"/>
          <w:color w:val="000000"/>
          <w:szCs w:val="20"/>
        </w:rPr>
        <w:t>Krug, E. (2002). World report on violence and health. Geneva: World Health Organization.</w:t>
      </w:r>
    </w:p>
    <w:p w14:paraId="44D7013D" w14:textId="236D444F" w:rsidR="005F1903" w:rsidRPr="00292070" w:rsidRDefault="005F1903" w:rsidP="005F1903">
      <w:pPr>
        <w:widowControl w:val="0"/>
        <w:autoSpaceDE w:val="0"/>
        <w:autoSpaceDN w:val="0"/>
        <w:adjustRightInd w:val="0"/>
        <w:ind w:left="720" w:hanging="720"/>
        <w:rPr>
          <w:rFonts w:cs="Arial"/>
          <w:color w:val="000000"/>
          <w:szCs w:val="20"/>
        </w:rPr>
      </w:pPr>
      <w:r w:rsidRPr="005F1903">
        <w:rPr>
          <w:rFonts w:cs="Arial"/>
          <w:color w:val="000000"/>
          <w:szCs w:val="20"/>
        </w:rPr>
        <w:t xml:space="preserve">Linley, P. A., &amp; Joseph, S. (2004). Positive change following trauma and </w:t>
      </w:r>
      <w:proofErr w:type="spellStart"/>
      <w:r w:rsidRPr="005F1903">
        <w:rPr>
          <w:rFonts w:cs="Arial"/>
          <w:color w:val="000000"/>
          <w:szCs w:val="20"/>
        </w:rPr>
        <w:t>adveristy</w:t>
      </w:r>
      <w:proofErr w:type="spellEnd"/>
      <w:r w:rsidRPr="005F1903">
        <w:rPr>
          <w:rFonts w:cs="Arial"/>
          <w:color w:val="000000"/>
          <w:szCs w:val="20"/>
        </w:rPr>
        <w:t>: A review. Journal of Traumatic Stress, 17(1), 11-21.</w:t>
      </w:r>
    </w:p>
    <w:p w14:paraId="4B49C2B6" w14:textId="015274F1" w:rsidR="009122BC" w:rsidRPr="00292070" w:rsidRDefault="009122BC" w:rsidP="000F2158">
      <w:pPr>
        <w:widowControl w:val="0"/>
        <w:autoSpaceDE w:val="0"/>
        <w:autoSpaceDN w:val="0"/>
        <w:adjustRightInd w:val="0"/>
        <w:ind w:left="720" w:hanging="720"/>
        <w:rPr>
          <w:rFonts w:cs="Arial"/>
          <w:color w:val="000000"/>
          <w:szCs w:val="20"/>
        </w:rPr>
      </w:pPr>
      <w:r w:rsidRPr="00292070">
        <w:rPr>
          <w:rFonts w:cs="Arial"/>
          <w:color w:val="000000"/>
          <w:szCs w:val="20"/>
        </w:rPr>
        <w:t>Overstreet, S., &amp; Braun, S. (2000). Exposure to community violence and posttraumatic stress symptoms: Mediating factors.</w:t>
      </w:r>
      <w:r w:rsidR="000F2158" w:rsidRPr="00292070">
        <w:rPr>
          <w:rFonts w:cs="Arial"/>
          <w:color w:val="000000"/>
          <w:szCs w:val="20"/>
        </w:rPr>
        <w:t xml:space="preserve"> </w:t>
      </w:r>
      <w:r w:rsidRPr="00292070">
        <w:rPr>
          <w:rFonts w:cs="Arial"/>
          <w:color w:val="000000"/>
          <w:szCs w:val="20"/>
        </w:rPr>
        <w:t>American Journal of Orthopsychiatry, 70(2), 263–271.</w:t>
      </w:r>
    </w:p>
    <w:p w14:paraId="14D1E8A6" w14:textId="19EAD77A" w:rsidR="005F1903" w:rsidRDefault="005F1903" w:rsidP="005F1903">
      <w:pPr>
        <w:widowControl w:val="0"/>
        <w:autoSpaceDE w:val="0"/>
        <w:autoSpaceDN w:val="0"/>
        <w:adjustRightInd w:val="0"/>
        <w:ind w:left="720" w:hanging="720"/>
        <w:rPr>
          <w:rFonts w:cs="Arial"/>
          <w:color w:val="000000"/>
          <w:szCs w:val="20"/>
        </w:rPr>
      </w:pPr>
      <w:r w:rsidRPr="005F1903">
        <w:rPr>
          <w:rFonts w:cs="Arial"/>
          <w:color w:val="000000"/>
          <w:szCs w:val="20"/>
        </w:rPr>
        <w:t xml:space="preserve">Reza A, Krug EG, Mercy JA. Epidemiology of violent deaths in the world. Injury Prevention, 2001, 7:104–111. </w:t>
      </w:r>
    </w:p>
    <w:p w14:paraId="120AEC58" w14:textId="1592CC0C" w:rsidR="005F1903" w:rsidRPr="005F1903" w:rsidRDefault="005F1903" w:rsidP="005F1903">
      <w:pPr>
        <w:widowControl w:val="0"/>
        <w:autoSpaceDE w:val="0"/>
        <w:autoSpaceDN w:val="0"/>
        <w:adjustRightInd w:val="0"/>
        <w:ind w:left="720" w:hanging="720"/>
        <w:rPr>
          <w:rFonts w:cs="Arial"/>
          <w:color w:val="000000"/>
          <w:szCs w:val="20"/>
        </w:rPr>
      </w:pPr>
      <w:proofErr w:type="spellStart"/>
      <w:r w:rsidRPr="005F1903">
        <w:rPr>
          <w:rFonts w:cs="Arial"/>
          <w:color w:val="000000"/>
          <w:szCs w:val="20"/>
        </w:rPr>
        <w:t>Richters</w:t>
      </w:r>
      <w:proofErr w:type="spellEnd"/>
      <w:r w:rsidRPr="005F1903">
        <w:rPr>
          <w:rFonts w:cs="Arial"/>
          <w:color w:val="000000"/>
          <w:szCs w:val="20"/>
        </w:rPr>
        <w:t xml:space="preserve">, J. E., &amp; Martinez, P. (1998). Children's Exposure to Community Violence. In L. L. Dahlberg, S. B. </w:t>
      </w:r>
      <w:proofErr w:type="spellStart"/>
      <w:r w:rsidRPr="005F1903">
        <w:rPr>
          <w:rFonts w:cs="Arial"/>
          <w:color w:val="000000"/>
          <w:szCs w:val="20"/>
        </w:rPr>
        <w:t>Toal</w:t>
      </w:r>
      <w:proofErr w:type="spellEnd"/>
      <w:r w:rsidRPr="005F1903">
        <w:rPr>
          <w:rFonts w:cs="Arial"/>
          <w:color w:val="000000"/>
          <w:szCs w:val="20"/>
        </w:rPr>
        <w:t>, &amp; C. B. Behrens (Eds.), Measuring violence-related attitudes, beliefs, and behaviors among youths: A compendium of assessment tools. Atlanta, GA: Division of Violence Prevention, National Center for Injury and Prevention Control, Centers for Disease Control and Prevention.</w:t>
      </w:r>
    </w:p>
    <w:p w14:paraId="778219FE" w14:textId="77777777" w:rsidR="005F1903" w:rsidRDefault="005F1903" w:rsidP="005F1903">
      <w:pPr>
        <w:widowControl w:val="0"/>
        <w:autoSpaceDE w:val="0"/>
        <w:autoSpaceDN w:val="0"/>
        <w:adjustRightInd w:val="0"/>
        <w:ind w:left="720" w:hanging="720"/>
        <w:rPr>
          <w:rFonts w:cs="Arial"/>
          <w:color w:val="000000"/>
          <w:szCs w:val="20"/>
        </w:rPr>
      </w:pPr>
      <w:proofErr w:type="spellStart"/>
      <w:r w:rsidRPr="005F1903">
        <w:rPr>
          <w:rFonts w:cs="Arial"/>
          <w:color w:val="000000"/>
          <w:szCs w:val="20"/>
        </w:rPr>
        <w:t>Saigh</w:t>
      </w:r>
      <w:proofErr w:type="spellEnd"/>
      <w:r w:rsidRPr="005F1903">
        <w:rPr>
          <w:rFonts w:cs="Arial"/>
          <w:color w:val="000000"/>
          <w:szCs w:val="20"/>
        </w:rPr>
        <w:t>, P. A. (2004). Children's PTSD Inventory: A structured interview for diagnosing posttraumatic stress disorder. San Antonio, TX: Harcourt.</w:t>
      </w:r>
    </w:p>
    <w:p w14:paraId="19BC22D7" w14:textId="2BD7C3FD" w:rsidR="005F1903" w:rsidRPr="005F1903" w:rsidRDefault="005F1903" w:rsidP="005F1903">
      <w:pPr>
        <w:widowControl w:val="0"/>
        <w:autoSpaceDE w:val="0"/>
        <w:autoSpaceDN w:val="0"/>
        <w:adjustRightInd w:val="0"/>
        <w:ind w:left="720" w:hanging="720"/>
        <w:rPr>
          <w:rFonts w:cs="Arial"/>
          <w:color w:val="000000"/>
          <w:szCs w:val="20"/>
        </w:rPr>
      </w:pPr>
      <w:r w:rsidRPr="005F1903">
        <w:rPr>
          <w:rFonts w:cs="Arial"/>
          <w:color w:val="000000"/>
          <w:szCs w:val="20"/>
        </w:rPr>
        <w:t>Tedeschi, R. G., &amp; Calhoun, L. G. (1995). Trauma and transformation: Growing in the aftermath of suffering. Thousand Oaks, CA: Sage Publications.</w:t>
      </w:r>
    </w:p>
    <w:p w14:paraId="193F0FBA" w14:textId="07B17AEA" w:rsidR="005F1903" w:rsidRDefault="005F1903" w:rsidP="0084252C">
      <w:pPr>
        <w:widowControl w:val="0"/>
        <w:autoSpaceDE w:val="0"/>
        <w:autoSpaceDN w:val="0"/>
        <w:adjustRightInd w:val="0"/>
        <w:ind w:left="720" w:hanging="720"/>
        <w:rPr>
          <w:rFonts w:cs="Arial"/>
          <w:color w:val="000000"/>
          <w:szCs w:val="20"/>
        </w:rPr>
      </w:pPr>
      <w:r w:rsidRPr="00292070">
        <w:rPr>
          <w:rFonts w:cs="Arial"/>
          <w:color w:val="000000"/>
          <w:szCs w:val="20"/>
        </w:rPr>
        <w:t>Wilson, W. C., &amp; Rosenthal, B. S. (2003). The relationship between exposure to community violence and psychological distress among adolescents: A meta-analysis. Violence and Victims, 18(3), 335–352.</w:t>
      </w:r>
    </w:p>
    <w:p w14:paraId="3EC51343" w14:textId="77777777" w:rsidR="0084252C" w:rsidRPr="0084252C" w:rsidRDefault="0084252C" w:rsidP="0084252C">
      <w:pPr>
        <w:widowControl w:val="0"/>
        <w:autoSpaceDE w:val="0"/>
        <w:autoSpaceDN w:val="0"/>
        <w:adjustRightInd w:val="0"/>
        <w:ind w:left="720" w:hanging="720"/>
        <w:rPr>
          <w:rFonts w:cs="Arial"/>
          <w:color w:val="000000"/>
          <w:szCs w:val="20"/>
        </w:rPr>
      </w:pPr>
    </w:p>
    <w:p w14:paraId="6F7BB2AA" w14:textId="547B47D1" w:rsidR="005F1903" w:rsidRDefault="001E0CB2" w:rsidP="000F2158">
      <w:pPr>
        <w:widowControl w:val="0"/>
        <w:autoSpaceDE w:val="0"/>
        <w:autoSpaceDN w:val="0"/>
        <w:adjustRightInd w:val="0"/>
        <w:ind w:left="720" w:hanging="720"/>
        <w:rPr>
          <w:rFonts w:cs="Arial"/>
          <w:b/>
          <w:color w:val="000000"/>
          <w:szCs w:val="20"/>
        </w:rPr>
      </w:pPr>
      <w:r w:rsidRPr="001E0CB2">
        <w:rPr>
          <w:rFonts w:cs="Arial"/>
          <w:b/>
          <w:color w:val="000000"/>
          <w:szCs w:val="20"/>
        </w:rPr>
        <w:t xml:space="preserve">6. </w:t>
      </w:r>
      <w:r>
        <w:rPr>
          <w:rFonts w:cs="Arial"/>
          <w:b/>
          <w:color w:val="000000"/>
          <w:szCs w:val="20"/>
        </w:rPr>
        <w:tab/>
      </w:r>
      <w:r w:rsidRPr="001E0CB2">
        <w:rPr>
          <w:rFonts w:cs="Arial"/>
          <w:b/>
          <w:color w:val="000000"/>
          <w:szCs w:val="20"/>
        </w:rPr>
        <w:t>Author Profile</w:t>
      </w:r>
    </w:p>
    <w:p w14:paraId="2980CA48" w14:textId="032B6360" w:rsidR="0084252C" w:rsidRPr="00DC53F9" w:rsidRDefault="00DC53F9" w:rsidP="00DC53F9">
      <w:pPr>
        <w:rPr>
          <w:rFonts w:cs="Arial"/>
          <w:i/>
          <w:color w:val="000000"/>
          <w:szCs w:val="20"/>
        </w:rPr>
      </w:pPr>
      <w:r w:rsidRPr="00DC53F9">
        <w:rPr>
          <w:rFonts w:cs="Arial"/>
          <w:color w:val="000000"/>
          <w:szCs w:val="20"/>
        </w:rPr>
        <w:t xml:space="preserve">Dr. Mark Purcell (M.Ed., Harvard University; </w:t>
      </w:r>
      <w:proofErr w:type="spellStart"/>
      <w:r w:rsidRPr="00DC53F9">
        <w:rPr>
          <w:rFonts w:cs="Arial"/>
          <w:color w:val="000000"/>
          <w:szCs w:val="20"/>
        </w:rPr>
        <w:t>Psy</w:t>
      </w:r>
      <w:r>
        <w:rPr>
          <w:rFonts w:cs="Arial"/>
          <w:color w:val="000000"/>
          <w:szCs w:val="20"/>
        </w:rPr>
        <w:t>.</w:t>
      </w:r>
      <w:r w:rsidRPr="00DC53F9">
        <w:rPr>
          <w:rFonts w:cs="Arial"/>
          <w:color w:val="000000"/>
          <w:szCs w:val="20"/>
        </w:rPr>
        <w:t>D</w:t>
      </w:r>
      <w:proofErr w:type="spellEnd"/>
      <w:r>
        <w:rPr>
          <w:rFonts w:cs="Arial"/>
          <w:color w:val="000000"/>
          <w:szCs w:val="20"/>
        </w:rPr>
        <w:t>.</w:t>
      </w:r>
      <w:r w:rsidRPr="00DC53F9">
        <w:rPr>
          <w:rFonts w:cs="Arial"/>
          <w:color w:val="000000"/>
          <w:szCs w:val="20"/>
        </w:rPr>
        <w:t xml:space="preserve">, California Institute of Integral Studies) </w:t>
      </w:r>
      <w:r>
        <w:rPr>
          <w:rFonts w:cs="Arial"/>
          <w:color w:val="000000"/>
          <w:szCs w:val="20"/>
        </w:rPr>
        <w:t xml:space="preserve">is Assistant Professor at John F. Kennedy University, Graduate School of Professional Psychology. His areas of research include: trauma and resiliency, violence and aggression, mindfulness, and psychotherapy with children and adolescents. He is the co-author of </w:t>
      </w:r>
      <w:r>
        <w:rPr>
          <w:rFonts w:cs="Arial"/>
          <w:i/>
          <w:color w:val="000000"/>
          <w:szCs w:val="20"/>
        </w:rPr>
        <w:t xml:space="preserve">Mindfulness for Teen Anger: A Workbook to Overcome Violence and Aggression using MBSR and DBT. </w:t>
      </w:r>
    </w:p>
    <w:sectPr w:rsidR="0084252C" w:rsidRPr="00DC53F9" w:rsidSect="003C59D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4BF2" w14:textId="77777777" w:rsidR="00195A26" w:rsidRDefault="00195A26" w:rsidP="00713DE4">
      <w:r>
        <w:separator/>
      </w:r>
    </w:p>
  </w:endnote>
  <w:endnote w:type="continuationSeparator" w:id="0">
    <w:p w14:paraId="06DEC669" w14:textId="77777777" w:rsidR="00195A26" w:rsidRDefault="00195A26" w:rsidP="007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FB03" w14:textId="77777777" w:rsidR="00195A26" w:rsidRDefault="00195A26" w:rsidP="00713DE4">
      <w:r>
        <w:separator/>
      </w:r>
    </w:p>
  </w:footnote>
  <w:footnote w:type="continuationSeparator" w:id="0">
    <w:p w14:paraId="1EE373BA" w14:textId="77777777" w:rsidR="00195A26" w:rsidRDefault="00195A26" w:rsidP="0071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F4178"/>
    <w:multiLevelType w:val="multilevel"/>
    <w:tmpl w:val="A7DC324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0"/>
    <w:lvlOverride w:ilvl="0">
      <w:startOverride w:val="2"/>
    </w:lvlOverride>
    <w:lvlOverride w:ilvl="1">
      <w:startOverride w:val="1"/>
    </w:lvlOverride>
  </w:num>
  <w:num w:numId="3">
    <w:abstractNumId w:val="0"/>
  </w:num>
  <w:num w:numId="4">
    <w:abstractNumId w:val="0"/>
  </w:num>
  <w:num w:numId="5">
    <w:abstractNumId w:val="0"/>
  </w:num>
  <w:num w:numId="6">
    <w:abstractNumId w:val="0"/>
  </w:num>
  <w:num w:numId="7">
    <w:abstractNumId w:val="0"/>
  </w:num>
  <w:num w:numId="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E4"/>
    <w:rsid w:val="0003108D"/>
    <w:rsid w:val="00031665"/>
    <w:rsid w:val="000C16D3"/>
    <w:rsid w:val="000F2158"/>
    <w:rsid w:val="00195A26"/>
    <w:rsid w:val="001E0CB2"/>
    <w:rsid w:val="00292070"/>
    <w:rsid w:val="002D78C9"/>
    <w:rsid w:val="00310507"/>
    <w:rsid w:val="003C59D5"/>
    <w:rsid w:val="004A34D7"/>
    <w:rsid w:val="004C2802"/>
    <w:rsid w:val="004D2075"/>
    <w:rsid w:val="00517DA4"/>
    <w:rsid w:val="005D11E7"/>
    <w:rsid w:val="005F1903"/>
    <w:rsid w:val="0062070A"/>
    <w:rsid w:val="00627440"/>
    <w:rsid w:val="0070088C"/>
    <w:rsid w:val="00702530"/>
    <w:rsid w:val="00713DE4"/>
    <w:rsid w:val="00784D55"/>
    <w:rsid w:val="007F0F4C"/>
    <w:rsid w:val="00831347"/>
    <w:rsid w:val="0084252C"/>
    <w:rsid w:val="008555F2"/>
    <w:rsid w:val="00900C78"/>
    <w:rsid w:val="009122BC"/>
    <w:rsid w:val="009D048F"/>
    <w:rsid w:val="00A02B73"/>
    <w:rsid w:val="00A33242"/>
    <w:rsid w:val="00A44C9B"/>
    <w:rsid w:val="00B674E3"/>
    <w:rsid w:val="00C44071"/>
    <w:rsid w:val="00DC53F9"/>
    <w:rsid w:val="00E62315"/>
    <w:rsid w:val="00EE63F0"/>
    <w:rsid w:val="00F71715"/>
    <w:rsid w:val="00F83DC9"/>
    <w:rsid w:val="00F93667"/>
    <w:rsid w:val="00FB1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13C88"/>
  <w14:defaultImageDpi w14:val="300"/>
  <w15:docId w15:val="{BF5CAB32-A53A-CA47-B317-E69FECB7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071"/>
    <w:rPr>
      <w:rFonts w:ascii="Arial" w:hAnsi="Arial"/>
      <w:sz w:val="20"/>
    </w:rPr>
  </w:style>
  <w:style w:type="paragraph" w:styleId="Heading1">
    <w:name w:val="heading 1"/>
    <w:basedOn w:val="Normal"/>
    <w:next w:val="Normal"/>
    <w:link w:val="Heading1Char"/>
    <w:uiPriority w:val="9"/>
    <w:qFormat/>
    <w:rsid w:val="00713DE4"/>
    <w:pPr>
      <w:keepNext/>
      <w:keepLines/>
      <w:numPr>
        <w:numId w:val="1"/>
      </w:numPr>
      <w:spacing w:before="400" w:after="200"/>
      <w:jc w:val="both"/>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713DE4"/>
    <w:pPr>
      <w:keepNext/>
      <w:keepLines/>
      <w:numPr>
        <w:ilvl w:val="1"/>
        <w:numId w:val="1"/>
      </w:numPr>
      <w:spacing w:before="400" w:after="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DE4"/>
    <w:rPr>
      <w:rFonts w:ascii="Arial" w:eastAsiaTheme="majorEastAsia" w:hAnsi="Arial" w:cstheme="majorBidi"/>
      <w:b/>
      <w:bCs/>
      <w:sz w:val="20"/>
      <w:szCs w:val="32"/>
    </w:rPr>
  </w:style>
  <w:style w:type="character" w:customStyle="1" w:styleId="Heading2Char">
    <w:name w:val="Heading 2 Char"/>
    <w:basedOn w:val="DefaultParagraphFont"/>
    <w:link w:val="Heading2"/>
    <w:uiPriority w:val="9"/>
    <w:rsid w:val="00713DE4"/>
    <w:rPr>
      <w:rFonts w:ascii="Arial" w:eastAsiaTheme="majorEastAsia" w:hAnsi="Arial" w:cstheme="majorBidi"/>
      <w:b/>
      <w:bCs/>
      <w:sz w:val="20"/>
      <w:szCs w:val="26"/>
    </w:rPr>
  </w:style>
  <w:style w:type="paragraph" w:customStyle="1" w:styleId="TableTitle">
    <w:name w:val="Table Title"/>
    <w:basedOn w:val="Normal"/>
    <w:rsid w:val="0003108D"/>
    <w:pPr>
      <w:autoSpaceDE w:val="0"/>
      <w:autoSpaceDN w:val="0"/>
      <w:jc w:val="center"/>
    </w:pPr>
    <w:rPr>
      <w:rFonts w:ascii="Times New Roman" w:eastAsia="Times New Roman" w:hAnsi="Times New Roman" w:cs="Times New Roman"/>
      <w:smallCaps/>
      <w:sz w:val="16"/>
      <w:szCs w:val="16"/>
    </w:rPr>
  </w:style>
  <w:style w:type="paragraph" w:styleId="BodyText">
    <w:name w:val="Body Text"/>
    <w:basedOn w:val="Normal"/>
    <w:link w:val="BodyTextChar"/>
    <w:uiPriority w:val="1"/>
    <w:qFormat/>
    <w:rsid w:val="007F0F4C"/>
    <w:pPr>
      <w:widowControl w:val="0"/>
      <w:autoSpaceDE w:val="0"/>
      <w:autoSpaceDN w:val="0"/>
      <w:adjustRightInd w:val="0"/>
      <w:ind w:left="40"/>
    </w:pPr>
    <w:rPr>
      <w:rFonts w:ascii="Times New Roman" w:hAnsi="Times New Roman" w:cs="Times New Roman"/>
      <w:szCs w:val="20"/>
    </w:rPr>
  </w:style>
  <w:style w:type="character" w:customStyle="1" w:styleId="BodyTextChar">
    <w:name w:val="Body Text Char"/>
    <w:basedOn w:val="DefaultParagraphFont"/>
    <w:link w:val="BodyText"/>
    <w:uiPriority w:val="1"/>
    <w:rsid w:val="007F0F4C"/>
    <w:rPr>
      <w:rFonts w:ascii="Times New Roman" w:hAnsi="Times New Roman" w:cs="Times New Roman"/>
      <w:sz w:val="20"/>
      <w:szCs w:val="20"/>
    </w:rPr>
  </w:style>
  <w:style w:type="character" w:styleId="Hyperlink">
    <w:name w:val="Hyperlink"/>
    <w:basedOn w:val="DefaultParagraphFont"/>
    <w:uiPriority w:val="99"/>
    <w:unhideWhenUsed/>
    <w:rsid w:val="009122BC"/>
    <w:rPr>
      <w:color w:val="0000FF" w:themeColor="hyperlink"/>
      <w:u w:val="single"/>
    </w:rPr>
  </w:style>
  <w:style w:type="paragraph" w:styleId="BalloonText">
    <w:name w:val="Balloon Text"/>
    <w:basedOn w:val="Normal"/>
    <w:link w:val="BalloonTextChar"/>
    <w:uiPriority w:val="99"/>
    <w:semiHidden/>
    <w:unhideWhenUsed/>
    <w:rsid w:val="000F21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2158"/>
    <w:rPr>
      <w:rFonts w:ascii="Lucida Grande" w:hAnsi="Lucida Grande" w:cs="Lucida Grande"/>
      <w:sz w:val="18"/>
      <w:szCs w:val="18"/>
    </w:rPr>
  </w:style>
  <w:style w:type="paragraph" w:customStyle="1" w:styleId="APAReference">
    <w:name w:val="APA Reference"/>
    <w:link w:val="APAReferenceChar"/>
    <w:rsid w:val="005F1903"/>
    <w:pPr>
      <w:widowControl w:val="0"/>
      <w:autoSpaceDE w:val="0"/>
      <w:autoSpaceDN w:val="0"/>
      <w:adjustRightInd w:val="0"/>
      <w:spacing w:line="480" w:lineRule="auto"/>
      <w:ind w:left="720" w:hanging="720"/>
    </w:pPr>
    <w:rPr>
      <w:rFonts w:ascii="Times New Roman" w:eastAsia="Times New Roman" w:hAnsi="Times New Roman" w:cs="Times New Roman"/>
    </w:rPr>
  </w:style>
  <w:style w:type="character" w:customStyle="1" w:styleId="APAReferenceChar">
    <w:name w:val="APA Reference Char"/>
    <w:basedOn w:val="DefaultParagraphFont"/>
    <w:link w:val="APAReference"/>
    <w:rsid w:val="005F19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2F00-D53C-EF40-8262-9CC46C70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3758</Words>
  <Characters>21427</Characters>
  <Application>Microsoft Office Word</Application>
  <DocSecurity>0</DocSecurity>
  <Lines>178</Lines>
  <Paragraphs>50</Paragraphs>
  <ScaleCrop>false</ScaleCrop>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Purcell</dc:creator>
  <cp:keywords/>
  <dc:description/>
  <cp:lastModifiedBy>Mark Purcell</cp:lastModifiedBy>
  <cp:revision>2</cp:revision>
  <cp:lastPrinted>2015-02-02T20:24:00Z</cp:lastPrinted>
  <dcterms:created xsi:type="dcterms:W3CDTF">2018-12-10T20:06:00Z</dcterms:created>
  <dcterms:modified xsi:type="dcterms:W3CDTF">2018-12-10T20:06:00Z</dcterms:modified>
</cp:coreProperties>
</file>